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13FB" w14:textId="1DC51CF5" w:rsidR="001D464F" w:rsidRPr="009D26E6" w:rsidRDefault="001D464F" w:rsidP="00D73AD6">
      <w:pPr>
        <w:rPr>
          <w:rFonts w:ascii="Segoe UI" w:hAnsi="Segoe UI" w:cs="Segoe UI"/>
          <w:color w:val="1F3864"/>
        </w:rPr>
      </w:pPr>
    </w:p>
    <w:p w14:paraId="0B1B1435" w14:textId="77777777" w:rsidR="00581ADD" w:rsidRPr="009D26E6" w:rsidRDefault="00581ADD" w:rsidP="00D73AD6">
      <w:pPr>
        <w:rPr>
          <w:rFonts w:ascii="Segoe UI" w:hAnsi="Segoe UI" w:cs="Segoe UI"/>
          <w:b/>
          <w:bCs/>
          <w:color w:val="1F3864"/>
        </w:rPr>
      </w:pPr>
    </w:p>
    <w:p w14:paraId="24603B99" w14:textId="77777777" w:rsidR="00581ADD" w:rsidRPr="009D26E6" w:rsidRDefault="00581ADD" w:rsidP="00D73AD6">
      <w:pPr>
        <w:rPr>
          <w:rFonts w:ascii="Segoe UI" w:hAnsi="Segoe UI" w:cs="Segoe UI"/>
          <w:b/>
          <w:bCs/>
          <w:color w:val="1F3864"/>
        </w:rPr>
      </w:pPr>
    </w:p>
    <w:p w14:paraId="64CC9589" w14:textId="77777777" w:rsidR="00581ADD" w:rsidRPr="009D26E6" w:rsidRDefault="00581ADD" w:rsidP="00D73AD6">
      <w:pPr>
        <w:rPr>
          <w:rFonts w:ascii="Segoe UI" w:hAnsi="Segoe UI" w:cs="Segoe UI"/>
          <w:b/>
          <w:bCs/>
          <w:color w:val="1F3864"/>
        </w:rPr>
      </w:pPr>
    </w:p>
    <w:p w14:paraId="48D2D83A" w14:textId="77777777" w:rsidR="00581ADD" w:rsidRPr="009D26E6" w:rsidRDefault="00581ADD" w:rsidP="00D73AD6">
      <w:pPr>
        <w:rPr>
          <w:rFonts w:ascii="Segoe UI" w:hAnsi="Segoe UI" w:cs="Segoe UI"/>
          <w:b/>
          <w:bCs/>
          <w:color w:val="1F3864"/>
        </w:rPr>
      </w:pPr>
    </w:p>
    <w:p w14:paraId="21C4EA5D" w14:textId="77777777" w:rsidR="00581ADD" w:rsidRPr="009D26E6" w:rsidRDefault="00581ADD" w:rsidP="00D73AD6">
      <w:pPr>
        <w:rPr>
          <w:rFonts w:ascii="Segoe UI" w:hAnsi="Segoe UI" w:cs="Segoe UI"/>
          <w:b/>
          <w:bCs/>
          <w:color w:val="1F3864"/>
        </w:rPr>
      </w:pPr>
    </w:p>
    <w:p w14:paraId="65FFC2B8" w14:textId="77777777" w:rsidR="00581ADD" w:rsidRPr="009D26E6" w:rsidRDefault="00581ADD" w:rsidP="00D73AD6">
      <w:pPr>
        <w:rPr>
          <w:rFonts w:ascii="Segoe UI" w:hAnsi="Segoe UI" w:cs="Segoe UI"/>
          <w:b/>
          <w:bCs/>
          <w:color w:val="1F3864"/>
        </w:rPr>
      </w:pPr>
    </w:p>
    <w:p w14:paraId="2A255213" w14:textId="3FA6ABEE" w:rsidR="0083427E" w:rsidRPr="009D26E6" w:rsidRDefault="0099381F" w:rsidP="00D73AD6">
      <w:pPr>
        <w:rPr>
          <w:rFonts w:ascii="Segoe UI" w:hAnsi="Segoe UI" w:cs="Segoe UI"/>
          <w:b/>
          <w:bCs/>
          <w:color w:val="1F3864"/>
        </w:rPr>
      </w:pPr>
      <w:r w:rsidRPr="009D26E6">
        <w:rPr>
          <w:rFonts w:ascii="Segoe UI" w:hAnsi="Segoe UI" w:cs="Segoe UI"/>
          <w:b/>
          <w:bCs/>
          <w:color w:val="1F3864"/>
        </w:rPr>
        <w:t xml:space="preserve">Assunto: </w:t>
      </w:r>
      <w:r w:rsidR="005278F1">
        <w:rPr>
          <w:rFonts w:ascii="Segoe UI" w:hAnsi="Segoe UI" w:cs="Segoe UI"/>
          <w:b/>
          <w:bCs/>
          <w:color w:val="1F3864"/>
        </w:rPr>
        <w:t>CML</w:t>
      </w:r>
      <w:r w:rsidR="0088608A" w:rsidRPr="009D26E6">
        <w:rPr>
          <w:rFonts w:ascii="Segoe UI" w:hAnsi="Segoe UI" w:cs="Segoe UI"/>
          <w:b/>
          <w:bCs/>
          <w:color w:val="1F3864"/>
        </w:rPr>
        <w:t xml:space="preserve"> | Atualizações</w:t>
      </w:r>
      <w:r w:rsidR="00D66E8C" w:rsidRPr="009D26E6">
        <w:rPr>
          <w:rFonts w:ascii="Segoe UI" w:hAnsi="Segoe UI" w:cs="Segoe UI"/>
          <w:b/>
          <w:bCs/>
          <w:color w:val="1F3864"/>
        </w:rPr>
        <w:t xml:space="preserve"> sobre Regulaç</w:t>
      </w:r>
      <w:r w:rsidR="0088608A" w:rsidRPr="009D26E6">
        <w:rPr>
          <w:rFonts w:ascii="Segoe UI" w:hAnsi="Segoe UI" w:cs="Segoe UI"/>
          <w:b/>
          <w:bCs/>
          <w:color w:val="1F3864"/>
        </w:rPr>
        <w:t>ão de Sustentabilidade</w:t>
      </w:r>
    </w:p>
    <w:p w14:paraId="00FC2823" w14:textId="14DE477F" w:rsidR="0083427E" w:rsidRPr="009D26E6" w:rsidRDefault="0083427E" w:rsidP="00D73AD6">
      <w:pPr>
        <w:rPr>
          <w:rFonts w:ascii="Segoe UI" w:hAnsi="Segoe UI" w:cs="Segoe UI"/>
          <w:color w:val="1F3864"/>
        </w:rPr>
      </w:pPr>
      <w:bookmarkStart w:id="0" w:name="_3lqqmnl4takl" w:colFirst="0" w:colLast="0"/>
      <w:bookmarkStart w:id="1" w:name="_rauoa46eip5n" w:colFirst="0" w:colLast="0"/>
      <w:bookmarkEnd w:id="0"/>
      <w:bookmarkEnd w:id="1"/>
    </w:p>
    <w:p w14:paraId="30E24B42" w14:textId="2F559272" w:rsidR="00FA1A23" w:rsidRPr="009D26E6" w:rsidRDefault="003646CA" w:rsidP="00FA1A23">
      <w:pPr>
        <w:rPr>
          <w:rFonts w:ascii="Segoe UI" w:hAnsi="Segoe UI" w:cs="Segoe UI"/>
          <w:color w:val="1F3864"/>
        </w:rPr>
      </w:pPr>
      <w:bookmarkStart w:id="2" w:name="_ld5voy9sem1i" w:colFirst="0" w:colLast="0"/>
      <w:bookmarkEnd w:id="2"/>
      <w:r w:rsidRPr="009D26E6">
        <w:rPr>
          <w:rFonts w:ascii="Segoe UI" w:hAnsi="Segoe UI" w:cs="Segoe UI"/>
          <w:color w:val="1F3864"/>
        </w:rPr>
        <w:t xml:space="preserve">Cara Equipa </w:t>
      </w:r>
      <w:r w:rsidR="005278F1">
        <w:rPr>
          <w:rFonts w:ascii="Segoe UI" w:hAnsi="Segoe UI" w:cs="Segoe UI"/>
          <w:color w:val="1F3864"/>
        </w:rPr>
        <w:t>PLS</w:t>
      </w:r>
    </w:p>
    <w:p w14:paraId="295D2090" w14:textId="1FD50646" w:rsidR="003646CA" w:rsidRPr="009D26E6" w:rsidRDefault="003646CA" w:rsidP="00FA1A23">
      <w:pPr>
        <w:rPr>
          <w:rFonts w:ascii="Segoe UI" w:hAnsi="Segoe UI" w:cs="Segoe UI"/>
          <w:color w:val="1F3864"/>
        </w:rPr>
      </w:pPr>
      <w:r w:rsidRPr="009D26E6">
        <w:rPr>
          <w:rFonts w:ascii="Segoe UI" w:hAnsi="Segoe UI" w:cs="Segoe UI"/>
          <w:color w:val="1F3864"/>
        </w:rPr>
        <w:t>Esperamos que se encontrem bem,</w:t>
      </w:r>
    </w:p>
    <w:p w14:paraId="22DE8B46" w14:textId="77777777" w:rsidR="003646CA" w:rsidRPr="009D26E6" w:rsidRDefault="003646CA" w:rsidP="00FA1A23">
      <w:pPr>
        <w:rPr>
          <w:rFonts w:ascii="Segoe UI" w:hAnsi="Segoe UI" w:cs="Segoe UI"/>
          <w:color w:val="1F3864"/>
        </w:rPr>
      </w:pPr>
    </w:p>
    <w:p w14:paraId="3B54C66B" w14:textId="07414BC1" w:rsidR="00FA1A23" w:rsidRPr="009D26E6" w:rsidRDefault="004979BC" w:rsidP="00FA1A23">
      <w:pPr>
        <w:rPr>
          <w:rFonts w:ascii="Segoe UI" w:hAnsi="Segoe UI" w:cs="Segoe UI"/>
          <w:color w:val="1F3864"/>
        </w:rPr>
      </w:pPr>
      <w:r w:rsidRPr="009D26E6">
        <w:rPr>
          <w:rFonts w:ascii="Segoe UI" w:hAnsi="Segoe UI" w:cs="Segoe UI"/>
          <w:color w:val="1F3864"/>
        </w:rPr>
        <w:t>Com o objetivo de vos manter informados sobre as mais recentes atualizações nas regulações europeias e internacionais relacionadas com a sustentabilidade</w:t>
      </w:r>
      <w:r w:rsidR="00443F55" w:rsidRPr="009D26E6">
        <w:rPr>
          <w:rFonts w:ascii="Segoe UI" w:hAnsi="Segoe UI" w:cs="Segoe UI"/>
          <w:color w:val="1F3864"/>
        </w:rPr>
        <w:t xml:space="preserve"> e, </w:t>
      </w:r>
      <w:r w:rsidR="005D5097" w:rsidRPr="009D26E6">
        <w:rPr>
          <w:rFonts w:ascii="Segoe UI" w:hAnsi="Segoe UI" w:cs="Segoe UI"/>
          <w:color w:val="1F3864"/>
        </w:rPr>
        <w:t>de modo que</w:t>
      </w:r>
      <w:r w:rsidR="00443F55" w:rsidRPr="009D26E6">
        <w:rPr>
          <w:rFonts w:ascii="Segoe UI" w:hAnsi="Segoe UI" w:cs="Segoe UI"/>
          <w:color w:val="1F3864"/>
        </w:rPr>
        <w:t xml:space="preserve"> </w:t>
      </w:r>
      <w:r w:rsidR="005278F1">
        <w:rPr>
          <w:rFonts w:ascii="Segoe UI" w:hAnsi="Segoe UI" w:cs="Segoe UI"/>
          <w:color w:val="1F3864"/>
        </w:rPr>
        <w:t xml:space="preserve">as empresas </w:t>
      </w:r>
      <w:r w:rsidR="00B42A7C">
        <w:rPr>
          <w:rFonts w:ascii="Segoe UI" w:hAnsi="Segoe UI" w:cs="Segoe UI"/>
          <w:color w:val="1F3864"/>
        </w:rPr>
        <w:t>aderentes à Plataforma Lisboa Sustentável</w:t>
      </w:r>
      <w:r w:rsidR="00443F55" w:rsidRPr="009D26E6">
        <w:rPr>
          <w:rFonts w:ascii="Segoe UI" w:hAnsi="Segoe UI" w:cs="Segoe UI"/>
          <w:color w:val="1F3864"/>
        </w:rPr>
        <w:t xml:space="preserve"> possa responder a estas atualizações, enviamos-vos</w:t>
      </w:r>
      <w:r w:rsidRPr="009D26E6">
        <w:rPr>
          <w:rFonts w:ascii="Segoe UI" w:hAnsi="Segoe UI" w:cs="Segoe UI"/>
          <w:color w:val="1F3864"/>
        </w:rPr>
        <w:t xml:space="preserve"> </w:t>
      </w:r>
      <w:r w:rsidR="0047576F" w:rsidRPr="009D26E6">
        <w:rPr>
          <w:rFonts w:ascii="Segoe UI" w:hAnsi="Segoe UI" w:cs="Segoe UI"/>
          <w:color w:val="1F3864"/>
        </w:rPr>
        <w:t>abaixo uma pequena “</w:t>
      </w:r>
      <w:r w:rsidRPr="009D26E6">
        <w:rPr>
          <w:rFonts w:ascii="Segoe UI" w:hAnsi="Segoe UI" w:cs="Segoe UI"/>
          <w:color w:val="1F3864"/>
        </w:rPr>
        <w:t>newsletter</w:t>
      </w:r>
      <w:r w:rsidR="0047576F" w:rsidRPr="009D26E6">
        <w:rPr>
          <w:rFonts w:ascii="Segoe UI" w:hAnsi="Segoe UI" w:cs="Segoe UI"/>
          <w:color w:val="1F3864"/>
        </w:rPr>
        <w:t>”</w:t>
      </w:r>
      <w:r w:rsidRPr="009D26E6">
        <w:rPr>
          <w:rFonts w:ascii="Segoe UI" w:hAnsi="Segoe UI" w:cs="Segoe UI"/>
          <w:color w:val="1F3864"/>
        </w:rPr>
        <w:t xml:space="preserve">. </w:t>
      </w:r>
    </w:p>
    <w:p w14:paraId="100394D6" w14:textId="77777777" w:rsidR="00545B88" w:rsidRPr="009D26E6" w:rsidRDefault="00545B88" w:rsidP="00FA1A23">
      <w:pPr>
        <w:rPr>
          <w:rFonts w:ascii="Segoe UI" w:hAnsi="Segoe UI" w:cs="Segoe UI"/>
          <w:color w:val="1F3864"/>
        </w:rPr>
      </w:pPr>
    </w:p>
    <w:p w14:paraId="43BDEE9A" w14:textId="09560F51" w:rsidR="00545B88" w:rsidRPr="009D26E6" w:rsidRDefault="00545B88" w:rsidP="00FA1A23">
      <w:pPr>
        <w:rPr>
          <w:rFonts w:ascii="Segoe UI" w:hAnsi="Segoe UI" w:cs="Segoe UI"/>
          <w:color w:val="1F3864"/>
        </w:rPr>
      </w:pPr>
      <w:r w:rsidRPr="009D26E6">
        <w:rPr>
          <w:rFonts w:ascii="Segoe UI" w:hAnsi="Segoe UI" w:cs="Segoe UI"/>
          <w:color w:val="1F3864"/>
        </w:rPr>
        <w:t>Alguma dúvida ou comentário que tenham, disponham!</w:t>
      </w:r>
    </w:p>
    <w:p w14:paraId="204691F4" w14:textId="77777777" w:rsidR="00FA1A23" w:rsidRPr="009D26E6" w:rsidRDefault="00FA1A23" w:rsidP="00FA1A23">
      <w:pPr>
        <w:rPr>
          <w:rFonts w:ascii="Segoe UI" w:hAnsi="Segoe UI" w:cs="Segoe UI"/>
          <w:color w:val="1F3864"/>
        </w:rPr>
      </w:pPr>
    </w:p>
    <w:p w14:paraId="5D9FDA32" w14:textId="77777777" w:rsidR="00C5715B" w:rsidRPr="009D26E6" w:rsidRDefault="00C5715B" w:rsidP="00FA1A23">
      <w:pPr>
        <w:rPr>
          <w:rFonts w:ascii="Segoe UI" w:hAnsi="Segoe UI" w:cs="Segoe UI"/>
          <w:b/>
          <w:bCs/>
          <w:color w:val="1F3864"/>
        </w:rPr>
      </w:pPr>
      <w:r w:rsidRPr="009D26E6">
        <w:rPr>
          <w:rFonts w:ascii="Segoe UI" w:hAnsi="Segoe UI" w:cs="Segoe UI"/>
          <w:b/>
          <w:bCs/>
          <w:color w:val="1F3864"/>
        </w:rPr>
        <w:t xml:space="preserve">Em destaque: </w:t>
      </w:r>
    </w:p>
    <w:p w14:paraId="51212AF3" w14:textId="77777777" w:rsidR="00C5715B" w:rsidRPr="009D26E6" w:rsidRDefault="00C5715B" w:rsidP="00C5715B">
      <w:pPr>
        <w:pStyle w:val="PargrafodaLista"/>
        <w:numPr>
          <w:ilvl w:val="0"/>
          <w:numId w:val="16"/>
        </w:numPr>
        <w:rPr>
          <w:rFonts w:ascii="Segoe UI" w:hAnsi="Segoe UI" w:cs="Segoe UI"/>
          <w:b/>
          <w:bCs/>
          <w:color w:val="1F3864"/>
        </w:rPr>
      </w:pPr>
      <w:r w:rsidRPr="009D26E6">
        <w:rPr>
          <w:rFonts w:ascii="Segoe UI" w:hAnsi="Segoe UI" w:cs="Segoe UI"/>
          <w:b/>
          <w:bCs/>
          <w:color w:val="1F3864"/>
        </w:rPr>
        <w:t xml:space="preserve">A publicação da Diretiva de Reporte de Sustentabilidade Corporativa (CSRD) e; </w:t>
      </w:r>
    </w:p>
    <w:p w14:paraId="278F167E" w14:textId="4C632009" w:rsidR="00C5715B" w:rsidRDefault="00C5715B" w:rsidP="00C5715B">
      <w:pPr>
        <w:pStyle w:val="PargrafodaLista"/>
        <w:numPr>
          <w:ilvl w:val="0"/>
          <w:numId w:val="16"/>
        </w:numPr>
        <w:rPr>
          <w:rFonts w:ascii="Segoe UI" w:hAnsi="Segoe UI" w:cs="Segoe UI"/>
          <w:b/>
          <w:bCs/>
          <w:color w:val="1F3864"/>
        </w:rPr>
      </w:pPr>
      <w:r w:rsidRPr="009D26E6">
        <w:rPr>
          <w:rFonts w:ascii="Segoe UI" w:hAnsi="Segoe UI" w:cs="Segoe UI"/>
          <w:b/>
          <w:bCs/>
          <w:color w:val="1F3864"/>
        </w:rPr>
        <w:t>A publicação dos restantes</w:t>
      </w:r>
      <w:r w:rsidR="00A82CDF">
        <w:rPr>
          <w:rFonts w:ascii="Segoe UI" w:hAnsi="Segoe UI" w:cs="Segoe UI"/>
          <w:b/>
          <w:bCs/>
          <w:color w:val="1F3864"/>
        </w:rPr>
        <w:t xml:space="preserve"> </w:t>
      </w:r>
      <w:r w:rsidR="00A82CDF" w:rsidRPr="009D26E6">
        <w:rPr>
          <w:rFonts w:ascii="Segoe UI" w:hAnsi="Segoe UI" w:cs="Segoe UI"/>
          <w:b/>
          <w:bCs/>
          <w:color w:val="1F3864"/>
        </w:rPr>
        <w:t>4</w:t>
      </w:r>
      <w:r w:rsidRPr="009D26E6">
        <w:rPr>
          <w:rFonts w:ascii="Segoe UI" w:hAnsi="Segoe UI" w:cs="Segoe UI"/>
          <w:b/>
          <w:bCs/>
          <w:color w:val="1F3864"/>
        </w:rPr>
        <w:t xml:space="preserve"> objetivos da Taxonomia Ambiental da EU.</w:t>
      </w:r>
    </w:p>
    <w:p w14:paraId="03A72B36" w14:textId="66A07AA2" w:rsidR="00B42A7C" w:rsidRPr="009D26E6" w:rsidRDefault="00530640" w:rsidP="00C5715B">
      <w:pPr>
        <w:pStyle w:val="PargrafodaLista"/>
        <w:numPr>
          <w:ilvl w:val="0"/>
          <w:numId w:val="16"/>
        </w:numPr>
        <w:rPr>
          <w:rFonts w:ascii="Segoe UI" w:hAnsi="Segoe UI" w:cs="Segoe UI"/>
          <w:b/>
          <w:bCs/>
          <w:color w:val="1F3864"/>
        </w:rPr>
      </w:pPr>
      <w:r>
        <w:rPr>
          <w:rFonts w:ascii="Segoe UI" w:hAnsi="Segoe UI" w:cs="Segoe UI"/>
          <w:b/>
          <w:bCs/>
          <w:color w:val="1F3864"/>
        </w:rPr>
        <w:t>EFRAG</w:t>
      </w:r>
    </w:p>
    <w:p w14:paraId="4A028808" w14:textId="77777777" w:rsidR="00545B88" w:rsidRPr="009D26E6" w:rsidRDefault="00545B88" w:rsidP="00FA1A23">
      <w:pPr>
        <w:rPr>
          <w:rFonts w:ascii="Segoe UI" w:hAnsi="Segoe UI" w:cs="Segoe UI"/>
          <w:color w:val="1F386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8477C"/>
        <w:tblLook w:val="04A0" w:firstRow="1" w:lastRow="0" w:firstColumn="1" w:lastColumn="0" w:noHBand="0" w:noVBand="1"/>
      </w:tblPr>
      <w:tblGrid>
        <w:gridCol w:w="9019"/>
      </w:tblGrid>
      <w:tr w:rsidR="009D26E6" w:rsidRPr="009D26E6" w14:paraId="0239591A" w14:textId="77777777" w:rsidTr="00581ADD">
        <w:trPr>
          <w:trHeight w:val="465"/>
        </w:trPr>
        <w:tc>
          <w:tcPr>
            <w:tcW w:w="9019" w:type="dxa"/>
            <w:shd w:val="clear" w:color="auto" w:fill="28477C"/>
            <w:vAlign w:val="center"/>
          </w:tcPr>
          <w:p w14:paraId="0546A51F" w14:textId="47861B2A" w:rsidR="00E51C3F" w:rsidRPr="009D26E6" w:rsidRDefault="00E51C3F" w:rsidP="00E51C3F">
            <w:pPr>
              <w:pStyle w:val="Ttulo1"/>
              <w:numPr>
                <w:ilvl w:val="0"/>
                <w:numId w:val="0"/>
              </w:numPr>
              <w:ind w:left="360" w:hanging="360"/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bookmarkStart w:id="3" w:name="_Hlk150766055"/>
            <w:bookmarkStart w:id="4" w:name="_Hlk150768319"/>
            <w:r w:rsidRPr="009D26E6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Publicação da Diretiva de Reporte de Sustentabilidade Corporativa (CSRD)</w:t>
            </w:r>
            <w:bookmarkEnd w:id="3"/>
          </w:p>
        </w:tc>
      </w:tr>
      <w:bookmarkEnd w:id="4"/>
    </w:tbl>
    <w:p w14:paraId="3A507D00" w14:textId="77777777" w:rsidR="00E51C3F" w:rsidRPr="009D26E6" w:rsidRDefault="00E51C3F" w:rsidP="00FA1A23">
      <w:pPr>
        <w:rPr>
          <w:rFonts w:ascii="Segoe UI" w:hAnsi="Segoe UI" w:cs="Segoe UI"/>
          <w:color w:val="1F3864"/>
        </w:rPr>
      </w:pPr>
    </w:p>
    <w:p w14:paraId="1D168068" w14:textId="0D24EE67" w:rsidR="006D5FB9" w:rsidRPr="009D26E6" w:rsidRDefault="006D5FB9" w:rsidP="006D5FB9">
      <w:pPr>
        <w:rPr>
          <w:rFonts w:ascii="Segoe UI" w:hAnsi="Segoe UI" w:cs="Segoe UI"/>
          <w:color w:val="1F3864"/>
        </w:rPr>
      </w:pPr>
      <w:r w:rsidRPr="009D26E6">
        <w:rPr>
          <w:rFonts w:ascii="Segoe UI" w:hAnsi="Segoe UI" w:cs="Segoe UI"/>
          <w:color w:val="1F3864"/>
        </w:rPr>
        <w:t xml:space="preserve">A </w:t>
      </w:r>
      <w:proofErr w:type="spellStart"/>
      <w:r w:rsidRPr="0062746E">
        <w:rPr>
          <w:rFonts w:ascii="Segoe UI" w:hAnsi="Segoe UI" w:cs="Segoe UI"/>
          <w:i/>
          <w:iCs/>
          <w:color w:val="1F3864"/>
        </w:rPr>
        <w:t>Corporate</w:t>
      </w:r>
      <w:proofErr w:type="spellEnd"/>
      <w:r w:rsidRPr="0062746E">
        <w:rPr>
          <w:rFonts w:ascii="Segoe UI" w:hAnsi="Segoe UI" w:cs="Segoe UI"/>
          <w:i/>
          <w:iCs/>
          <w:color w:val="1F3864"/>
        </w:rPr>
        <w:t xml:space="preserve"> </w:t>
      </w:r>
      <w:proofErr w:type="spellStart"/>
      <w:r w:rsidRPr="0062746E">
        <w:rPr>
          <w:rFonts w:ascii="Segoe UI" w:hAnsi="Segoe UI" w:cs="Segoe UI"/>
          <w:i/>
          <w:iCs/>
          <w:color w:val="1F3864"/>
        </w:rPr>
        <w:t>Sustainability</w:t>
      </w:r>
      <w:proofErr w:type="spellEnd"/>
      <w:r w:rsidRPr="0062746E">
        <w:rPr>
          <w:rFonts w:ascii="Segoe UI" w:hAnsi="Segoe UI" w:cs="Segoe UI"/>
          <w:i/>
          <w:iCs/>
          <w:color w:val="1F3864"/>
        </w:rPr>
        <w:t xml:space="preserve"> </w:t>
      </w:r>
      <w:proofErr w:type="spellStart"/>
      <w:r w:rsidRPr="0062746E">
        <w:rPr>
          <w:rFonts w:ascii="Segoe UI" w:hAnsi="Segoe UI" w:cs="Segoe UI"/>
          <w:i/>
          <w:iCs/>
          <w:color w:val="1F3864"/>
        </w:rPr>
        <w:t>Reporting</w:t>
      </w:r>
      <w:proofErr w:type="spellEnd"/>
      <w:r w:rsidRPr="0062746E">
        <w:rPr>
          <w:rFonts w:ascii="Segoe UI" w:hAnsi="Segoe UI" w:cs="Segoe UI"/>
          <w:i/>
          <w:iCs/>
          <w:color w:val="1F3864"/>
        </w:rPr>
        <w:t xml:space="preserve"> </w:t>
      </w:r>
      <w:proofErr w:type="spellStart"/>
      <w:r w:rsidRPr="0062746E">
        <w:rPr>
          <w:rFonts w:ascii="Segoe UI" w:hAnsi="Segoe UI" w:cs="Segoe UI"/>
          <w:i/>
          <w:iCs/>
          <w:color w:val="1F3864"/>
        </w:rPr>
        <w:t>Directive</w:t>
      </w:r>
      <w:proofErr w:type="spellEnd"/>
      <w:r w:rsidRPr="009D26E6">
        <w:rPr>
          <w:rFonts w:ascii="Segoe UI" w:hAnsi="Segoe UI" w:cs="Segoe UI"/>
          <w:color w:val="1F3864"/>
        </w:rPr>
        <w:t xml:space="preserve"> (CSRD) entrou em vigor no dia 5 de janeiro de 2023 e substitui a vigente </w:t>
      </w:r>
      <w:r w:rsidRPr="0062746E">
        <w:rPr>
          <w:rFonts w:ascii="Segoe UI" w:hAnsi="Segoe UI" w:cs="Segoe UI"/>
          <w:i/>
          <w:iCs/>
          <w:color w:val="1F3864"/>
        </w:rPr>
        <w:t xml:space="preserve">Non Financial </w:t>
      </w:r>
      <w:proofErr w:type="spellStart"/>
      <w:r w:rsidRPr="0062746E">
        <w:rPr>
          <w:rFonts w:ascii="Segoe UI" w:hAnsi="Segoe UI" w:cs="Segoe UI"/>
          <w:i/>
          <w:iCs/>
          <w:color w:val="1F3864"/>
        </w:rPr>
        <w:t>Reporting</w:t>
      </w:r>
      <w:proofErr w:type="spellEnd"/>
      <w:r w:rsidRPr="0062746E">
        <w:rPr>
          <w:rFonts w:ascii="Segoe UI" w:hAnsi="Segoe UI" w:cs="Segoe UI"/>
          <w:i/>
          <w:iCs/>
          <w:color w:val="1F3864"/>
        </w:rPr>
        <w:t xml:space="preserve"> </w:t>
      </w:r>
      <w:proofErr w:type="spellStart"/>
      <w:r w:rsidRPr="0062746E">
        <w:rPr>
          <w:rFonts w:ascii="Segoe UI" w:hAnsi="Segoe UI" w:cs="Segoe UI"/>
          <w:i/>
          <w:iCs/>
          <w:color w:val="1F3864"/>
        </w:rPr>
        <w:t>Directive</w:t>
      </w:r>
      <w:proofErr w:type="spellEnd"/>
      <w:r w:rsidRPr="009D26E6">
        <w:rPr>
          <w:rFonts w:ascii="Segoe UI" w:hAnsi="Segoe UI" w:cs="Segoe UI"/>
          <w:color w:val="1F3864"/>
        </w:rPr>
        <w:t xml:space="preserve"> (NFRD). </w:t>
      </w:r>
    </w:p>
    <w:p w14:paraId="0348CBE2" w14:textId="77777777" w:rsidR="006D5FB9" w:rsidRPr="009D26E6" w:rsidRDefault="006D5FB9" w:rsidP="006D5FB9">
      <w:pPr>
        <w:rPr>
          <w:rFonts w:ascii="Segoe UI" w:hAnsi="Segoe UI" w:cs="Segoe UI"/>
          <w:color w:val="1F3864"/>
        </w:rPr>
      </w:pPr>
    </w:p>
    <w:p w14:paraId="47ACEBEF" w14:textId="21C6B60E" w:rsidR="00F6785F" w:rsidRPr="009D26E6" w:rsidRDefault="006D5FB9" w:rsidP="006D5FB9">
      <w:pPr>
        <w:rPr>
          <w:rFonts w:ascii="Segoe UI" w:hAnsi="Segoe UI" w:cs="Segoe UI"/>
          <w:color w:val="1F3864"/>
        </w:rPr>
      </w:pPr>
      <w:r w:rsidRPr="009D26E6">
        <w:rPr>
          <w:rFonts w:ascii="Segoe UI" w:hAnsi="Segoe UI" w:cs="Segoe UI"/>
          <w:color w:val="1F3864"/>
        </w:rPr>
        <w:t xml:space="preserve">As primeiras empresas a ter de reportar de acordo com a CSRD serão as </w:t>
      </w:r>
      <w:r w:rsidR="00290178" w:rsidRPr="009D26E6">
        <w:rPr>
          <w:rFonts w:ascii="Segoe UI" w:hAnsi="Segoe UI" w:cs="Segoe UI"/>
          <w:color w:val="1F3864"/>
        </w:rPr>
        <w:t>grandes empresas de interesse público</w:t>
      </w:r>
      <w:r w:rsidR="008062A5" w:rsidRPr="009D26E6">
        <w:rPr>
          <w:rFonts w:ascii="Segoe UI" w:hAnsi="Segoe UI" w:cs="Segoe UI"/>
          <w:color w:val="1F3864"/>
        </w:rPr>
        <w:t xml:space="preserve"> atualmente abrangidas pela NFRD</w:t>
      </w:r>
      <w:r w:rsidRPr="009D26E6">
        <w:rPr>
          <w:rFonts w:ascii="Segoe UI" w:hAnsi="Segoe UI" w:cs="Segoe UI"/>
          <w:color w:val="1F3864"/>
        </w:rPr>
        <w:t>. O reporte terá de ser feito com base na atividade desenvolvida em 2024 e publicado em 2025.</w:t>
      </w:r>
      <w:r w:rsidR="00290178" w:rsidRPr="009D26E6">
        <w:rPr>
          <w:rFonts w:ascii="Segoe UI" w:hAnsi="Segoe UI" w:cs="Segoe UI"/>
          <w:color w:val="1F3864"/>
        </w:rPr>
        <w:t xml:space="preserve"> </w:t>
      </w:r>
    </w:p>
    <w:p w14:paraId="7B4AC54E" w14:textId="77777777" w:rsidR="00F6785F" w:rsidRPr="009D26E6" w:rsidRDefault="00F6785F" w:rsidP="006D5FB9">
      <w:pPr>
        <w:rPr>
          <w:rFonts w:ascii="Segoe UI" w:hAnsi="Segoe UI" w:cs="Segoe UI"/>
          <w:color w:val="1F3864"/>
        </w:rPr>
      </w:pPr>
    </w:p>
    <w:p w14:paraId="1AC25620" w14:textId="102B53A6" w:rsidR="006D5FB9" w:rsidRPr="009D26E6" w:rsidRDefault="00290178" w:rsidP="006D5FB9">
      <w:pPr>
        <w:rPr>
          <w:rFonts w:ascii="Segoe UI" w:hAnsi="Segoe UI" w:cs="Segoe UI"/>
          <w:color w:val="1F3864"/>
        </w:rPr>
      </w:pPr>
      <w:r w:rsidRPr="00A10EE3">
        <w:rPr>
          <w:rFonts w:ascii="Segoe UI" w:hAnsi="Segoe UI" w:cs="Segoe UI"/>
          <w:color w:val="1F3864"/>
        </w:rPr>
        <w:t>Posteriormente, terão de reportar</w:t>
      </w:r>
      <w:r w:rsidR="00B47E3E" w:rsidRPr="00A10EE3">
        <w:rPr>
          <w:rFonts w:ascii="Segoe UI" w:hAnsi="Segoe UI" w:cs="Segoe UI"/>
          <w:color w:val="1F3864"/>
        </w:rPr>
        <w:t xml:space="preserve"> com base </w:t>
      </w:r>
      <w:r w:rsidR="00D61420" w:rsidRPr="00A10EE3">
        <w:rPr>
          <w:rFonts w:ascii="Segoe UI" w:hAnsi="Segoe UI" w:cs="Segoe UI"/>
          <w:color w:val="1F3864"/>
        </w:rPr>
        <w:t>no período fiscal de</w:t>
      </w:r>
      <w:r w:rsidR="00B47E3E" w:rsidRPr="00A10EE3">
        <w:rPr>
          <w:rFonts w:ascii="Segoe UI" w:hAnsi="Segoe UI" w:cs="Segoe UI"/>
          <w:color w:val="1F3864"/>
        </w:rPr>
        <w:t xml:space="preserve"> 2025 e publicar o relatório em 2026</w:t>
      </w:r>
      <w:r w:rsidR="00A10EE3" w:rsidRPr="00A10EE3">
        <w:rPr>
          <w:rFonts w:ascii="Segoe UI" w:hAnsi="Segoe UI" w:cs="Segoe UI"/>
          <w:color w:val="1F3864"/>
        </w:rPr>
        <w:t>,</w:t>
      </w:r>
      <w:r w:rsidR="00B47E3E" w:rsidRPr="00A10EE3">
        <w:rPr>
          <w:rFonts w:ascii="Segoe UI" w:hAnsi="Segoe UI" w:cs="Segoe UI"/>
          <w:color w:val="1F3864"/>
        </w:rPr>
        <w:t xml:space="preserve"> as empresas que cumpram </w:t>
      </w:r>
      <w:r w:rsidR="00EC2DB8" w:rsidRPr="00A10EE3">
        <w:rPr>
          <w:rFonts w:ascii="Segoe UI" w:hAnsi="Segoe UI" w:cs="Segoe UI"/>
          <w:color w:val="1F3864"/>
        </w:rPr>
        <w:t>2 dos seguintes critérios:</w:t>
      </w:r>
    </w:p>
    <w:p w14:paraId="16FB532F" w14:textId="4AAE98B8" w:rsidR="00EC2DB8" w:rsidRPr="009D26E6" w:rsidRDefault="009A085D" w:rsidP="00EC2DB8">
      <w:pPr>
        <w:pStyle w:val="PargrafodaLista"/>
        <w:numPr>
          <w:ilvl w:val="0"/>
          <w:numId w:val="11"/>
        </w:numPr>
        <w:rPr>
          <w:rFonts w:ascii="Segoe UI" w:hAnsi="Segoe UI" w:cs="Segoe UI"/>
          <w:color w:val="1F3864"/>
        </w:rPr>
      </w:pPr>
      <w:r w:rsidRPr="009D26E6">
        <w:rPr>
          <w:rFonts w:ascii="Segoe UI" w:hAnsi="Segoe UI" w:cs="Segoe UI"/>
          <w:color w:val="1F3864"/>
        </w:rPr>
        <w:t>Volume de negócios total</w:t>
      </w:r>
      <w:r w:rsidR="00EC2DB8" w:rsidRPr="009D26E6">
        <w:rPr>
          <w:rFonts w:ascii="Segoe UI" w:hAnsi="Segoe UI" w:cs="Segoe UI"/>
          <w:color w:val="1F3864"/>
        </w:rPr>
        <w:t xml:space="preserve"> superior a </w:t>
      </w:r>
      <w:r w:rsidR="00860A87">
        <w:rPr>
          <w:rFonts w:ascii="Segoe UI" w:hAnsi="Segoe UI" w:cs="Segoe UI"/>
          <w:color w:val="1F3864"/>
        </w:rPr>
        <w:t>4</w:t>
      </w:r>
      <w:r w:rsidR="00EC2DB8" w:rsidRPr="009D26E6">
        <w:rPr>
          <w:rFonts w:ascii="Segoe UI" w:hAnsi="Segoe UI" w:cs="Segoe UI"/>
          <w:color w:val="1F3864"/>
        </w:rPr>
        <w:t>0 milhões de euros;</w:t>
      </w:r>
    </w:p>
    <w:p w14:paraId="44AE5F02" w14:textId="68378136" w:rsidR="00EC2DB8" w:rsidRPr="009D26E6" w:rsidRDefault="005A2AE4" w:rsidP="00EC2DB8">
      <w:pPr>
        <w:pStyle w:val="PargrafodaLista"/>
        <w:numPr>
          <w:ilvl w:val="0"/>
          <w:numId w:val="11"/>
        </w:numPr>
        <w:rPr>
          <w:rFonts w:ascii="Segoe UI" w:hAnsi="Segoe UI" w:cs="Segoe UI"/>
          <w:color w:val="1F3864"/>
        </w:rPr>
      </w:pPr>
      <w:r>
        <w:rPr>
          <w:rFonts w:ascii="Segoe UI" w:hAnsi="Segoe UI" w:cs="Segoe UI"/>
          <w:color w:val="1F3864"/>
        </w:rPr>
        <w:t>Ativos</w:t>
      </w:r>
      <w:r w:rsidR="00F520AF" w:rsidRPr="009D26E6">
        <w:rPr>
          <w:rFonts w:ascii="Segoe UI" w:hAnsi="Segoe UI" w:cs="Segoe UI"/>
          <w:color w:val="1F3864"/>
        </w:rPr>
        <w:t xml:space="preserve"> </w:t>
      </w:r>
      <w:r w:rsidR="00EC2DB8" w:rsidRPr="009D26E6">
        <w:rPr>
          <w:rFonts w:ascii="Segoe UI" w:hAnsi="Segoe UI" w:cs="Segoe UI"/>
          <w:color w:val="1F3864"/>
        </w:rPr>
        <w:t>superior</w:t>
      </w:r>
      <w:r w:rsidR="00F520AF" w:rsidRPr="009D26E6">
        <w:rPr>
          <w:rFonts w:ascii="Segoe UI" w:hAnsi="Segoe UI" w:cs="Segoe UI"/>
          <w:color w:val="1F3864"/>
        </w:rPr>
        <w:t>es</w:t>
      </w:r>
      <w:r w:rsidR="00EC2DB8" w:rsidRPr="009D26E6">
        <w:rPr>
          <w:rFonts w:ascii="Segoe UI" w:hAnsi="Segoe UI" w:cs="Segoe UI"/>
          <w:color w:val="1F3864"/>
        </w:rPr>
        <w:t xml:space="preserve"> a </w:t>
      </w:r>
      <w:r w:rsidR="00860A87">
        <w:rPr>
          <w:rFonts w:ascii="Segoe UI" w:hAnsi="Segoe UI" w:cs="Segoe UI"/>
          <w:color w:val="1F3864"/>
        </w:rPr>
        <w:t>2</w:t>
      </w:r>
      <w:r w:rsidR="00EC2DB8" w:rsidRPr="009D26E6">
        <w:rPr>
          <w:rFonts w:ascii="Segoe UI" w:hAnsi="Segoe UI" w:cs="Segoe UI"/>
          <w:color w:val="1F3864"/>
        </w:rPr>
        <w:t>0 milhões de euros;</w:t>
      </w:r>
    </w:p>
    <w:p w14:paraId="2A8E65A8" w14:textId="4781AB42" w:rsidR="00EC2DB8" w:rsidRPr="009D26E6" w:rsidRDefault="00EC2DB8" w:rsidP="00EC2DB8">
      <w:pPr>
        <w:pStyle w:val="PargrafodaLista"/>
        <w:numPr>
          <w:ilvl w:val="0"/>
          <w:numId w:val="11"/>
        </w:numPr>
        <w:rPr>
          <w:rFonts w:ascii="Segoe UI" w:hAnsi="Segoe UI" w:cs="Segoe UI"/>
          <w:color w:val="1F3864"/>
        </w:rPr>
      </w:pPr>
      <w:r w:rsidRPr="009D26E6">
        <w:rPr>
          <w:rFonts w:ascii="Segoe UI" w:hAnsi="Segoe UI" w:cs="Segoe UI"/>
          <w:color w:val="1F3864"/>
        </w:rPr>
        <w:t>Número de Colaboradores médio superior a 250</w:t>
      </w:r>
      <w:r w:rsidR="00F520AF" w:rsidRPr="009D26E6">
        <w:rPr>
          <w:rFonts w:ascii="Segoe UI" w:hAnsi="Segoe UI" w:cs="Segoe UI"/>
          <w:color w:val="1F3864"/>
        </w:rPr>
        <w:t xml:space="preserve"> colaboradores</w:t>
      </w:r>
      <w:r w:rsidRPr="009D26E6">
        <w:rPr>
          <w:rFonts w:ascii="Segoe UI" w:hAnsi="Segoe UI" w:cs="Segoe UI"/>
          <w:color w:val="1F3864"/>
        </w:rPr>
        <w:t>;</w:t>
      </w:r>
    </w:p>
    <w:p w14:paraId="2C6EC5DF" w14:textId="42B2F177" w:rsidR="006D5FB9" w:rsidRPr="009D26E6" w:rsidRDefault="006D5FB9" w:rsidP="006D5FB9">
      <w:pPr>
        <w:rPr>
          <w:rFonts w:ascii="Segoe UI" w:hAnsi="Segoe UI" w:cs="Segoe UI"/>
          <w:color w:val="1F3864"/>
        </w:rPr>
      </w:pPr>
    </w:p>
    <w:p w14:paraId="26C89FF3" w14:textId="77777777" w:rsidR="00FD6C46" w:rsidRDefault="00FD6C46" w:rsidP="00FD6C46">
      <w:pPr>
        <w:rPr>
          <w:rFonts w:ascii="Segoe UI" w:eastAsiaTheme="minorHAnsi" w:hAnsi="Segoe UI" w:cs="Segoe UI"/>
          <w:color w:val="1F3864"/>
        </w:rPr>
      </w:pPr>
      <w:r>
        <w:rPr>
          <w:rFonts w:ascii="Segoe UI" w:hAnsi="Segoe UI" w:cs="Segoe UI"/>
          <w:color w:val="1F3864"/>
        </w:rPr>
        <w:t xml:space="preserve">As empresas abrangidas pela CSRD terão de reportar segundo normas das </w:t>
      </w:r>
      <w:proofErr w:type="spellStart"/>
      <w:r>
        <w:rPr>
          <w:rFonts w:ascii="Segoe UI" w:hAnsi="Segoe UI" w:cs="Segoe UI"/>
          <w:i/>
          <w:iCs/>
          <w:color w:val="1F3864"/>
        </w:rPr>
        <w:t>European</w:t>
      </w:r>
      <w:proofErr w:type="spellEnd"/>
      <w:r>
        <w:rPr>
          <w:rFonts w:ascii="Segoe UI" w:hAnsi="Segoe UI" w:cs="Segoe UI"/>
          <w:i/>
          <w:iCs/>
          <w:color w:val="1F3864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1F3864"/>
        </w:rPr>
        <w:t>Sustainability</w:t>
      </w:r>
      <w:proofErr w:type="spellEnd"/>
      <w:r>
        <w:rPr>
          <w:rFonts w:ascii="Segoe UI" w:hAnsi="Segoe UI" w:cs="Segoe UI"/>
          <w:i/>
          <w:iCs/>
          <w:color w:val="1F3864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1F3864"/>
        </w:rPr>
        <w:t>Reporting</w:t>
      </w:r>
      <w:proofErr w:type="spellEnd"/>
      <w:r>
        <w:rPr>
          <w:rFonts w:ascii="Segoe UI" w:hAnsi="Segoe UI" w:cs="Segoe UI"/>
          <w:i/>
          <w:iCs/>
          <w:color w:val="1F3864"/>
        </w:rPr>
        <w:t xml:space="preserve"> Standards</w:t>
      </w:r>
      <w:r>
        <w:rPr>
          <w:rFonts w:ascii="Segoe UI" w:hAnsi="Segoe UI" w:cs="Segoe UI"/>
          <w:color w:val="1F3864"/>
        </w:rPr>
        <w:t xml:space="preserve"> (ESRS) desenvolvidas pelo </w:t>
      </w:r>
      <w:proofErr w:type="spellStart"/>
      <w:r>
        <w:rPr>
          <w:rFonts w:ascii="Segoe UI" w:hAnsi="Segoe UI" w:cs="Segoe UI"/>
          <w:i/>
          <w:iCs/>
          <w:color w:val="1F3864"/>
        </w:rPr>
        <w:t>European</w:t>
      </w:r>
      <w:proofErr w:type="spellEnd"/>
      <w:r>
        <w:rPr>
          <w:rFonts w:ascii="Segoe UI" w:hAnsi="Segoe UI" w:cs="Segoe UI"/>
          <w:i/>
          <w:iCs/>
          <w:color w:val="1F3864"/>
        </w:rPr>
        <w:t xml:space="preserve"> Financial </w:t>
      </w:r>
      <w:proofErr w:type="spellStart"/>
      <w:r>
        <w:rPr>
          <w:rFonts w:ascii="Segoe UI" w:hAnsi="Segoe UI" w:cs="Segoe UI"/>
          <w:i/>
          <w:iCs/>
          <w:color w:val="1F3864"/>
        </w:rPr>
        <w:t>Reporting</w:t>
      </w:r>
      <w:proofErr w:type="spellEnd"/>
      <w:r>
        <w:rPr>
          <w:rFonts w:ascii="Segoe UI" w:hAnsi="Segoe UI" w:cs="Segoe UI"/>
          <w:i/>
          <w:iCs/>
          <w:color w:val="1F3864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1F3864"/>
        </w:rPr>
        <w:t>Advisory</w:t>
      </w:r>
      <w:proofErr w:type="spellEnd"/>
      <w:r>
        <w:rPr>
          <w:rFonts w:ascii="Segoe UI" w:hAnsi="Segoe UI" w:cs="Segoe UI"/>
          <w:i/>
          <w:iCs/>
          <w:color w:val="1F3864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1F3864"/>
        </w:rPr>
        <w:t>Group</w:t>
      </w:r>
      <w:proofErr w:type="spellEnd"/>
      <w:r>
        <w:rPr>
          <w:rFonts w:ascii="Segoe UI" w:hAnsi="Segoe UI" w:cs="Segoe UI"/>
          <w:i/>
          <w:iCs/>
          <w:color w:val="1F3864"/>
        </w:rPr>
        <w:t xml:space="preserve"> </w:t>
      </w:r>
      <w:r>
        <w:rPr>
          <w:rFonts w:ascii="Segoe UI" w:hAnsi="Segoe UI" w:cs="Segoe UI"/>
          <w:color w:val="1F3864"/>
        </w:rPr>
        <w:t xml:space="preserve">(EFRAG), as quais são adaptadas às políticas da União Europeia, baseando-se e contribuindo para iniciativas internacionais de uniformização da informação. Os ESRS são 13 no total e dividem-se entre transversais e específicos: </w:t>
      </w:r>
    </w:p>
    <w:p w14:paraId="79ACF189" w14:textId="77777777" w:rsidR="00FD6C46" w:rsidRDefault="00FD6C46" w:rsidP="00FD6C46">
      <w:pPr>
        <w:numPr>
          <w:ilvl w:val="0"/>
          <w:numId w:val="23"/>
        </w:numPr>
        <w:spacing w:line="240" w:lineRule="auto"/>
        <w:jc w:val="left"/>
        <w:rPr>
          <w:rFonts w:ascii="Segoe UI" w:eastAsia="Times New Roman" w:hAnsi="Segoe UI" w:cs="Segoe UI"/>
          <w:color w:val="1F3864"/>
        </w:rPr>
      </w:pPr>
      <w:r>
        <w:rPr>
          <w:rFonts w:ascii="Segoe UI" w:eastAsia="Times New Roman" w:hAnsi="Segoe UI" w:cs="Segoe UI"/>
          <w:color w:val="1F3864"/>
        </w:rPr>
        <w:t>2 ESRS Transversais:</w:t>
      </w:r>
    </w:p>
    <w:p w14:paraId="7ABB00D0" w14:textId="77777777" w:rsidR="00FD6C46" w:rsidRDefault="00FD6C46" w:rsidP="00FD6C46">
      <w:pPr>
        <w:numPr>
          <w:ilvl w:val="1"/>
          <w:numId w:val="23"/>
        </w:numPr>
        <w:spacing w:line="240" w:lineRule="auto"/>
        <w:jc w:val="left"/>
        <w:rPr>
          <w:rFonts w:ascii="Segoe UI" w:eastAsia="Times New Roman" w:hAnsi="Segoe UI" w:cs="Segoe UI"/>
          <w:color w:val="1F3864"/>
        </w:rPr>
      </w:pPr>
      <w:r>
        <w:rPr>
          <w:rFonts w:ascii="Segoe UI" w:eastAsia="Times New Roman" w:hAnsi="Segoe UI" w:cs="Segoe UI"/>
          <w:color w:val="1F3864"/>
        </w:rPr>
        <w:t>ESRS 1 – Requisitos Gerais: Esta norma compreende os princípios gerais a serem aplicados durante o reporte.</w:t>
      </w:r>
    </w:p>
    <w:p w14:paraId="731B2911" w14:textId="77777777" w:rsidR="00FD6C46" w:rsidRDefault="00FD6C46" w:rsidP="00FD6C46">
      <w:pPr>
        <w:numPr>
          <w:ilvl w:val="1"/>
          <w:numId w:val="23"/>
        </w:numPr>
        <w:spacing w:line="240" w:lineRule="auto"/>
        <w:jc w:val="left"/>
        <w:rPr>
          <w:rFonts w:ascii="Segoe UI" w:eastAsia="Times New Roman" w:hAnsi="Segoe UI" w:cs="Segoe UI"/>
          <w:color w:val="1F3864"/>
        </w:rPr>
      </w:pPr>
      <w:r>
        <w:rPr>
          <w:rFonts w:ascii="Segoe UI" w:eastAsia="Times New Roman" w:hAnsi="Segoe UI" w:cs="Segoe UI"/>
          <w:color w:val="1F3864"/>
        </w:rPr>
        <w:t>ESRS 2 – Divulgações Gerais: Esta norma é de caráter obrigatório para todas as entidades que estejam abrangidas pela CSRD</w:t>
      </w:r>
    </w:p>
    <w:p w14:paraId="2611FB90" w14:textId="77777777" w:rsidR="0028790E" w:rsidRDefault="0028790E" w:rsidP="0028790E">
      <w:pPr>
        <w:spacing w:line="240" w:lineRule="auto"/>
        <w:jc w:val="left"/>
        <w:rPr>
          <w:rFonts w:ascii="Segoe UI" w:eastAsia="Times New Roman" w:hAnsi="Segoe UI" w:cs="Segoe UI"/>
          <w:color w:val="1F3864"/>
        </w:rPr>
      </w:pPr>
    </w:p>
    <w:p w14:paraId="7EE05AAB" w14:textId="77777777" w:rsidR="0028790E" w:rsidRDefault="0028790E" w:rsidP="0028790E">
      <w:pPr>
        <w:spacing w:line="240" w:lineRule="auto"/>
        <w:jc w:val="left"/>
        <w:rPr>
          <w:rFonts w:ascii="Segoe UI" w:eastAsia="Times New Roman" w:hAnsi="Segoe UI" w:cs="Segoe UI"/>
          <w:color w:val="1F3864"/>
        </w:rPr>
      </w:pPr>
    </w:p>
    <w:p w14:paraId="3ABED05A" w14:textId="77777777" w:rsidR="0028790E" w:rsidRDefault="0028790E" w:rsidP="0028790E">
      <w:pPr>
        <w:spacing w:line="240" w:lineRule="auto"/>
        <w:jc w:val="left"/>
        <w:rPr>
          <w:rFonts w:ascii="Segoe UI" w:eastAsia="Times New Roman" w:hAnsi="Segoe UI" w:cs="Segoe UI"/>
          <w:color w:val="1F3864"/>
        </w:rPr>
      </w:pPr>
    </w:p>
    <w:p w14:paraId="1AE746FD" w14:textId="77777777" w:rsidR="0028790E" w:rsidRDefault="0028790E" w:rsidP="0028790E">
      <w:pPr>
        <w:spacing w:line="240" w:lineRule="auto"/>
        <w:jc w:val="left"/>
        <w:rPr>
          <w:rFonts w:ascii="Segoe UI" w:eastAsia="Times New Roman" w:hAnsi="Segoe UI" w:cs="Segoe UI"/>
          <w:color w:val="1F3864"/>
        </w:rPr>
      </w:pPr>
    </w:p>
    <w:p w14:paraId="18920EA5" w14:textId="77777777" w:rsidR="0028790E" w:rsidRDefault="0028790E" w:rsidP="0028790E">
      <w:pPr>
        <w:spacing w:line="240" w:lineRule="auto"/>
        <w:jc w:val="left"/>
        <w:rPr>
          <w:rFonts w:ascii="Segoe UI" w:eastAsia="Times New Roman" w:hAnsi="Segoe UI" w:cs="Segoe UI"/>
          <w:color w:val="1F3864"/>
        </w:rPr>
      </w:pPr>
    </w:p>
    <w:p w14:paraId="7403549A" w14:textId="77777777" w:rsidR="00FD6C46" w:rsidRDefault="00FD6C46" w:rsidP="00FD6C46">
      <w:pPr>
        <w:numPr>
          <w:ilvl w:val="0"/>
          <w:numId w:val="23"/>
        </w:numPr>
        <w:spacing w:line="240" w:lineRule="auto"/>
        <w:jc w:val="left"/>
        <w:rPr>
          <w:rFonts w:ascii="Segoe UI" w:eastAsia="Times New Roman" w:hAnsi="Segoe UI" w:cs="Segoe UI"/>
          <w:color w:val="1F3864"/>
        </w:rPr>
      </w:pPr>
      <w:r>
        <w:rPr>
          <w:rFonts w:ascii="Segoe UI" w:eastAsia="Times New Roman" w:hAnsi="Segoe UI" w:cs="Segoe UI"/>
          <w:color w:val="1F3864"/>
        </w:rPr>
        <w:t>11 ESRS Específicos:</w:t>
      </w:r>
    </w:p>
    <w:p w14:paraId="3ED199A6" w14:textId="77777777" w:rsidR="00FD6C46" w:rsidRDefault="00FD6C46" w:rsidP="00FD6C46">
      <w:pPr>
        <w:numPr>
          <w:ilvl w:val="1"/>
          <w:numId w:val="23"/>
        </w:numPr>
        <w:spacing w:line="240" w:lineRule="auto"/>
        <w:jc w:val="left"/>
        <w:rPr>
          <w:rFonts w:ascii="Segoe UI" w:eastAsia="Times New Roman" w:hAnsi="Segoe UI" w:cs="Segoe UI"/>
          <w:color w:val="1F3864"/>
        </w:rPr>
      </w:pPr>
      <w:r>
        <w:rPr>
          <w:rFonts w:ascii="Segoe UI" w:eastAsia="Times New Roman" w:hAnsi="Segoe UI" w:cs="Segoe UI"/>
          <w:color w:val="1F3864"/>
        </w:rPr>
        <w:t>Cinco ESRS “E” relacionados com o Ambiente;</w:t>
      </w:r>
    </w:p>
    <w:p w14:paraId="0A0038F8" w14:textId="77777777" w:rsidR="00FD6C46" w:rsidRDefault="00FD6C46" w:rsidP="00FD6C46">
      <w:pPr>
        <w:numPr>
          <w:ilvl w:val="1"/>
          <w:numId w:val="23"/>
        </w:numPr>
        <w:spacing w:line="240" w:lineRule="auto"/>
        <w:jc w:val="left"/>
        <w:rPr>
          <w:rFonts w:ascii="Segoe UI" w:eastAsia="Times New Roman" w:hAnsi="Segoe UI" w:cs="Segoe UI"/>
          <w:color w:val="1F3864"/>
        </w:rPr>
      </w:pPr>
      <w:r>
        <w:rPr>
          <w:rFonts w:ascii="Segoe UI" w:eastAsia="Times New Roman" w:hAnsi="Segoe UI" w:cs="Segoe UI"/>
          <w:color w:val="1F3864"/>
        </w:rPr>
        <w:t>Quatro ESRS “S” Sociais; e</w:t>
      </w:r>
    </w:p>
    <w:p w14:paraId="45963665" w14:textId="77777777" w:rsidR="00FD6C46" w:rsidRDefault="00FD6C46" w:rsidP="00FD6C46">
      <w:pPr>
        <w:numPr>
          <w:ilvl w:val="1"/>
          <w:numId w:val="23"/>
        </w:numPr>
        <w:spacing w:line="240" w:lineRule="auto"/>
        <w:jc w:val="left"/>
        <w:rPr>
          <w:rFonts w:ascii="Segoe UI" w:eastAsia="Times New Roman" w:hAnsi="Segoe UI" w:cs="Segoe UI"/>
          <w:color w:val="1F3864"/>
        </w:rPr>
      </w:pPr>
      <w:r>
        <w:rPr>
          <w:rFonts w:ascii="Segoe UI" w:eastAsia="Times New Roman" w:hAnsi="Segoe UI" w:cs="Segoe UI"/>
          <w:color w:val="1F3864"/>
        </w:rPr>
        <w:t>Dois ESRS “G” relacionados com as práticas de Governação.</w:t>
      </w:r>
    </w:p>
    <w:p w14:paraId="73284484" w14:textId="77777777" w:rsidR="0028790E" w:rsidRDefault="0028790E" w:rsidP="0028790E">
      <w:pPr>
        <w:spacing w:line="240" w:lineRule="auto"/>
        <w:jc w:val="left"/>
        <w:rPr>
          <w:rFonts w:ascii="Segoe UI" w:eastAsia="Times New Roman" w:hAnsi="Segoe UI" w:cs="Segoe UI"/>
          <w:color w:val="1F3864"/>
        </w:rPr>
      </w:pPr>
    </w:p>
    <w:p w14:paraId="31AE3C9C" w14:textId="77777777" w:rsidR="0028790E" w:rsidRDefault="0028790E" w:rsidP="0028790E">
      <w:pPr>
        <w:spacing w:line="240" w:lineRule="auto"/>
        <w:jc w:val="left"/>
        <w:rPr>
          <w:rFonts w:ascii="Segoe UI" w:eastAsia="Times New Roman" w:hAnsi="Segoe UI" w:cs="Segoe UI"/>
          <w:color w:val="1F3864"/>
        </w:rPr>
      </w:pPr>
    </w:p>
    <w:p w14:paraId="015C8945" w14:textId="77777777" w:rsidR="0028790E" w:rsidRPr="009D26E6" w:rsidRDefault="0028790E" w:rsidP="0028790E">
      <w:pPr>
        <w:jc w:val="left"/>
        <w:rPr>
          <w:rFonts w:ascii="Segoe UI" w:hAnsi="Segoe UI" w:cs="Segoe UI"/>
          <w:b/>
          <w:bCs/>
          <w:color w:val="1F3864"/>
        </w:rPr>
      </w:pPr>
      <w:r w:rsidRPr="009D26E6">
        <w:rPr>
          <w:rFonts w:ascii="Segoe UI" w:hAnsi="Segoe UI" w:cs="Segoe UI"/>
          <w:b/>
          <w:bCs/>
          <w:color w:val="1F3864"/>
        </w:rPr>
        <w:t>Links relevantes:</w:t>
      </w:r>
    </w:p>
    <w:p w14:paraId="560ABFA8" w14:textId="77777777" w:rsidR="0028790E" w:rsidRPr="009D26E6" w:rsidRDefault="00000000" w:rsidP="0028790E">
      <w:pPr>
        <w:pStyle w:val="PargrafodaLista"/>
        <w:numPr>
          <w:ilvl w:val="0"/>
          <w:numId w:val="2"/>
        </w:numPr>
        <w:jc w:val="left"/>
        <w:rPr>
          <w:rFonts w:ascii="Segoe UI" w:hAnsi="Segoe UI" w:cs="Segoe UI"/>
          <w:color w:val="1F3864"/>
        </w:rPr>
      </w:pPr>
      <w:hyperlink r:id="rId8" w:history="1">
        <w:r w:rsidR="0028790E" w:rsidRPr="000E6309">
          <w:rPr>
            <w:rStyle w:val="Hiperligao"/>
            <w:rFonts w:ascii="Segoe UI" w:hAnsi="Segoe UI" w:cs="Segoe UI"/>
          </w:rPr>
          <w:t>Diretiva CSRD – (EU) 2022/2464</w:t>
        </w:r>
      </w:hyperlink>
    </w:p>
    <w:p w14:paraId="75677495" w14:textId="77777777" w:rsidR="0028790E" w:rsidRPr="009D26E6" w:rsidRDefault="00000000" w:rsidP="0028790E">
      <w:pPr>
        <w:pStyle w:val="PargrafodaLista"/>
        <w:numPr>
          <w:ilvl w:val="0"/>
          <w:numId w:val="2"/>
        </w:numPr>
        <w:jc w:val="left"/>
        <w:rPr>
          <w:rFonts w:ascii="Segoe UI" w:hAnsi="Segoe UI" w:cs="Segoe UI"/>
          <w:color w:val="1F3864"/>
        </w:rPr>
      </w:pPr>
      <w:hyperlink r:id="rId9" w:history="1">
        <w:r w:rsidR="0028790E" w:rsidRPr="000E6309">
          <w:rPr>
            <w:rStyle w:val="Hiperligao"/>
            <w:rFonts w:ascii="Segoe UI" w:hAnsi="Segoe UI" w:cs="Segoe UI"/>
          </w:rPr>
          <w:t xml:space="preserve">Anexo 1: </w:t>
        </w:r>
        <w:proofErr w:type="spellStart"/>
        <w:r w:rsidR="0028790E" w:rsidRPr="000E6309">
          <w:rPr>
            <w:rStyle w:val="Hiperligao"/>
            <w:rFonts w:ascii="Segoe UI" w:hAnsi="Segoe UI" w:cs="Segoe UI"/>
          </w:rPr>
          <w:t>Draft</w:t>
        </w:r>
        <w:proofErr w:type="spellEnd"/>
        <w:r w:rsidR="0028790E" w:rsidRPr="000E6309">
          <w:rPr>
            <w:rStyle w:val="Hiperligao"/>
            <w:rFonts w:ascii="Segoe UI" w:hAnsi="Segoe UI" w:cs="Segoe UI"/>
          </w:rPr>
          <w:t xml:space="preserve"> da ESRS 1</w:t>
        </w:r>
      </w:hyperlink>
    </w:p>
    <w:p w14:paraId="1CF07AA8" w14:textId="77777777" w:rsidR="0028790E" w:rsidRPr="00B15664" w:rsidRDefault="00000000" w:rsidP="0028790E">
      <w:pPr>
        <w:pStyle w:val="PargrafodaLista"/>
        <w:numPr>
          <w:ilvl w:val="0"/>
          <w:numId w:val="2"/>
        </w:numPr>
        <w:jc w:val="left"/>
        <w:rPr>
          <w:rFonts w:ascii="Segoe UI" w:hAnsi="Segoe UI" w:cs="Segoe UI"/>
          <w:color w:val="1F3864"/>
        </w:rPr>
      </w:pPr>
      <w:hyperlink r:id="rId10" w:history="1">
        <w:r w:rsidR="0028790E" w:rsidRPr="000E6309">
          <w:rPr>
            <w:rStyle w:val="Hiperligao"/>
            <w:rFonts w:ascii="Segoe UI" w:hAnsi="Segoe UI" w:cs="Segoe UI"/>
          </w:rPr>
          <w:t xml:space="preserve">Anexo 2: </w:t>
        </w:r>
        <w:proofErr w:type="spellStart"/>
        <w:r w:rsidR="0028790E" w:rsidRPr="000E6309">
          <w:rPr>
            <w:rStyle w:val="Hiperligao"/>
            <w:rFonts w:ascii="Segoe UI" w:hAnsi="Segoe UI" w:cs="Segoe UI"/>
          </w:rPr>
          <w:t>Draft</w:t>
        </w:r>
        <w:proofErr w:type="spellEnd"/>
        <w:r w:rsidR="0028790E" w:rsidRPr="000E6309">
          <w:rPr>
            <w:rStyle w:val="Hiperligao"/>
            <w:rFonts w:ascii="Segoe UI" w:hAnsi="Segoe UI" w:cs="Segoe UI"/>
          </w:rPr>
          <w:t xml:space="preserve"> da ESRS 2</w:t>
        </w:r>
      </w:hyperlink>
    </w:p>
    <w:p w14:paraId="509E42B1" w14:textId="77777777" w:rsidR="0028790E" w:rsidRPr="00305142" w:rsidRDefault="00000000" w:rsidP="0028790E">
      <w:pPr>
        <w:pStyle w:val="PargrafodaLista"/>
        <w:numPr>
          <w:ilvl w:val="0"/>
          <w:numId w:val="2"/>
        </w:numPr>
        <w:jc w:val="left"/>
        <w:rPr>
          <w:rFonts w:ascii="Segoe UI" w:hAnsi="Segoe UI" w:cs="Segoe UI"/>
          <w:color w:val="1F3864"/>
        </w:rPr>
      </w:pPr>
      <w:hyperlink r:id="rId11" w:history="1">
        <w:r w:rsidR="0028790E" w:rsidRPr="000E6309">
          <w:rPr>
            <w:rStyle w:val="Hiperligao"/>
            <w:rFonts w:ascii="Segoe UI" w:hAnsi="Segoe UI" w:cs="Segoe UI"/>
          </w:rPr>
          <w:t>Informação da Comissão Europeia sobre CSRD</w:t>
        </w:r>
      </w:hyperlink>
    </w:p>
    <w:p w14:paraId="62715AF6" w14:textId="77777777" w:rsidR="0028790E" w:rsidRPr="00FC288D" w:rsidRDefault="00000000" w:rsidP="0028790E">
      <w:pPr>
        <w:pStyle w:val="PargrafodaLista"/>
        <w:numPr>
          <w:ilvl w:val="0"/>
          <w:numId w:val="2"/>
        </w:numPr>
        <w:jc w:val="left"/>
        <w:rPr>
          <w:rFonts w:ascii="Segoe UI" w:hAnsi="Segoe UI" w:cs="Segoe UI"/>
          <w:color w:val="1F3864"/>
        </w:rPr>
      </w:pPr>
      <w:hyperlink r:id="rId12" w:history="1">
        <w:r w:rsidR="0028790E" w:rsidRPr="000E6309">
          <w:rPr>
            <w:rStyle w:val="Hiperligao"/>
            <w:rFonts w:ascii="Segoe UI" w:hAnsi="Segoe UI" w:cs="Segoe UI"/>
          </w:rPr>
          <w:t>Perguntas e Resposta da Comissão Europeia sobre a adoção das ESRS</w:t>
        </w:r>
      </w:hyperlink>
    </w:p>
    <w:p w14:paraId="31BB8754" w14:textId="77777777" w:rsidR="0028790E" w:rsidRPr="00305142" w:rsidRDefault="00000000" w:rsidP="0028790E">
      <w:pPr>
        <w:pStyle w:val="PargrafodaLista"/>
        <w:numPr>
          <w:ilvl w:val="0"/>
          <w:numId w:val="2"/>
        </w:numPr>
        <w:jc w:val="left"/>
        <w:rPr>
          <w:rFonts w:ascii="Segoe UI" w:hAnsi="Segoe UI" w:cs="Segoe UI"/>
          <w:color w:val="1F3864"/>
        </w:rPr>
      </w:pPr>
      <w:hyperlink r:id="rId13" w:history="1">
        <w:r w:rsidR="0028790E" w:rsidRPr="000E6309">
          <w:rPr>
            <w:rStyle w:val="Hiperligao"/>
            <w:rFonts w:ascii="Segoe UI" w:hAnsi="Segoe UI" w:cs="Segoe UI"/>
          </w:rPr>
          <w:t xml:space="preserve">Informação da EFRAG sobre os primeiros </w:t>
        </w:r>
        <w:proofErr w:type="spellStart"/>
        <w:r w:rsidR="0028790E" w:rsidRPr="000E6309">
          <w:rPr>
            <w:rStyle w:val="Hiperligao"/>
            <w:rFonts w:ascii="Segoe UI" w:hAnsi="Segoe UI" w:cs="Segoe UI"/>
          </w:rPr>
          <w:t>drafts</w:t>
        </w:r>
        <w:proofErr w:type="spellEnd"/>
        <w:r w:rsidR="0028790E" w:rsidRPr="000E6309">
          <w:rPr>
            <w:rStyle w:val="Hiperligao"/>
            <w:rFonts w:ascii="Segoe UI" w:hAnsi="Segoe UI" w:cs="Segoe UI"/>
          </w:rPr>
          <w:t xml:space="preserve"> das ESRS</w:t>
        </w:r>
      </w:hyperlink>
      <w:r w:rsidR="0028790E" w:rsidRPr="00305142">
        <w:rPr>
          <w:rFonts w:ascii="Segoe UI" w:hAnsi="Segoe UI" w:cs="Segoe UI"/>
          <w:color w:val="1F3864"/>
        </w:rPr>
        <w:t xml:space="preserve"> </w:t>
      </w:r>
    </w:p>
    <w:p w14:paraId="608E7D50" w14:textId="77777777" w:rsidR="007444FB" w:rsidRDefault="007444FB" w:rsidP="0028790E">
      <w:pPr>
        <w:spacing w:line="240" w:lineRule="auto"/>
        <w:ind w:left="720"/>
        <w:jc w:val="left"/>
        <w:rPr>
          <w:rFonts w:ascii="Segoe UI" w:eastAsia="Times New Roman" w:hAnsi="Segoe UI" w:cs="Segoe UI"/>
          <w:color w:val="1F3864"/>
        </w:rPr>
      </w:pPr>
    </w:p>
    <w:p w14:paraId="7907CB24" w14:textId="77777777" w:rsidR="006D5FB9" w:rsidRPr="009D26E6" w:rsidRDefault="006D5FB9" w:rsidP="006D5FB9">
      <w:pPr>
        <w:rPr>
          <w:rFonts w:ascii="Segoe UI" w:hAnsi="Segoe UI" w:cs="Segoe UI"/>
          <w:color w:val="1F3864"/>
        </w:rPr>
      </w:pPr>
    </w:p>
    <w:p w14:paraId="736C9BA4" w14:textId="77777777" w:rsidR="008D1244" w:rsidRDefault="008D1244" w:rsidP="006D5FB9">
      <w:pPr>
        <w:rPr>
          <w:rFonts w:ascii="Segoe UI" w:hAnsi="Segoe UI" w:cs="Segoe UI"/>
          <w:color w:val="1F386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8477C"/>
        <w:tblLook w:val="04A0" w:firstRow="1" w:lastRow="0" w:firstColumn="1" w:lastColumn="0" w:noHBand="0" w:noVBand="1"/>
      </w:tblPr>
      <w:tblGrid>
        <w:gridCol w:w="9019"/>
      </w:tblGrid>
      <w:tr w:rsidR="009D26E6" w:rsidRPr="009D26E6" w14:paraId="644F2B82" w14:textId="77777777" w:rsidTr="009D26E6">
        <w:trPr>
          <w:trHeight w:val="465"/>
        </w:trPr>
        <w:tc>
          <w:tcPr>
            <w:tcW w:w="9019" w:type="dxa"/>
            <w:shd w:val="clear" w:color="auto" w:fill="28477C"/>
            <w:vAlign w:val="center"/>
          </w:tcPr>
          <w:p w14:paraId="2883D355" w14:textId="428BD24A" w:rsidR="009D26E6" w:rsidRPr="009D26E6" w:rsidRDefault="009D26E6" w:rsidP="009D26E6">
            <w:pPr>
              <w:pStyle w:val="Ttulo1"/>
              <w:numPr>
                <w:ilvl w:val="0"/>
                <w:numId w:val="0"/>
              </w:numPr>
              <w:ind w:left="360" w:hanging="360"/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bookmarkStart w:id="5" w:name="_Toc149039381"/>
            <w:r w:rsidRPr="009D26E6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 xml:space="preserve">Publicação dos restantes </w:t>
            </w:r>
            <w:r w:rsidR="00A82CDF" w:rsidRPr="009D26E6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 xml:space="preserve">4 </w:t>
            </w:r>
            <w:r w:rsidRPr="009D26E6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objetivos da Taxonomia Ambiental</w:t>
            </w:r>
            <w:bookmarkEnd w:id="5"/>
            <w:r w:rsidRPr="009D26E6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 xml:space="preserve"> da UE</w:t>
            </w:r>
          </w:p>
        </w:tc>
      </w:tr>
    </w:tbl>
    <w:p w14:paraId="1CC87D2B" w14:textId="77777777" w:rsidR="009D26E6" w:rsidRPr="009D26E6" w:rsidRDefault="009D26E6" w:rsidP="006D5FB9">
      <w:pPr>
        <w:rPr>
          <w:rFonts w:ascii="Segoe UI" w:hAnsi="Segoe UI" w:cs="Segoe UI"/>
          <w:color w:val="1F3864"/>
        </w:rPr>
      </w:pPr>
    </w:p>
    <w:p w14:paraId="41576BD5" w14:textId="3AD9555E" w:rsidR="006D5FB9" w:rsidRPr="009D26E6" w:rsidRDefault="00651D43" w:rsidP="006D5FB9">
      <w:pPr>
        <w:rPr>
          <w:rFonts w:ascii="Segoe UI" w:hAnsi="Segoe UI" w:cs="Segoe UI"/>
          <w:color w:val="1F3864"/>
        </w:rPr>
      </w:pPr>
      <w:r>
        <w:rPr>
          <w:rFonts w:ascii="Segoe UI" w:hAnsi="Segoe UI" w:cs="Segoe UI"/>
          <w:color w:val="1F3864"/>
        </w:rPr>
        <w:t>A</w:t>
      </w:r>
      <w:r w:rsidR="006D5FB9" w:rsidRPr="009D26E6">
        <w:rPr>
          <w:rFonts w:ascii="Segoe UI" w:hAnsi="Segoe UI" w:cs="Segoe UI"/>
          <w:color w:val="1F3864"/>
        </w:rPr>
        <w:t xml:space="preserve"> Taxonomia Ambiental </w:t>
      </w:r>
      <w:r w:rsidR="009A1F2D">
        <w:rPr>
          <w:rFonts w:ascii="Segoe UI" w:hAnsi="Segoe UI" w:cs="Segoe UI"/>
          <w:color w:val="1F3864"/>
        </w:rPr>
        <w:t>da UE</w:t>
      </w:r>
      <w:r w:rsidR="006D5FB9" w:rsidRPr="009D26E6">
        <w:rPr>
          <w:rFonts w:ascii="Segoe UI" w:hAnsi="Segoe UI" w:cs="Segoe UI"/>
          <w:color w:val="1F3864"/>
        </w:rPr>
        <w:t xml:space="preserve"> entrou em vigor em julho de 2020</w:t>
      </w:r>
      <w:r w:rsidR="009A1F2D">
        <w:rPr>
          <w:rFonts w:ascii="Segoe UI" w:hAnsi="Segoe UI" w:cs="Segoe UI"/>
          <w:color w:val="1F3864"/>
        </w:rPr>
        <w:t xml:space="preserve"> e </w:t>
      </w:r>
      <w:r w:rsidR="006D5FB9" w:rsidRPr="009D26E6">
        <w:rPr>
          <w:rFonts w:ascii="Segoe UI" w:hAnsi="Segoe UI" w:cs="Segoe UI"/>
          <w:color w:val="1F3864"/>
        </w:rPr>
        <w:t xml:space="preserve">faz parte de um pacote de medidas implementadas pela Comissão </w:t>
      </w:r>
      <w:r w:rsidR="00425CF0" w:rsidRPr="009D26E6">
        <w:rPr>
          <w:rFonts w:ascii="Segoe UI" w:hAnsi="Segoe UI" w:cs="Segoe UI"/>
          <w:color w:val="1F3864"/>
        </w:rPr>
        <w:t>Europeia</w:t>
      </w:r>
      <w:r w:rsidR="006D5FB9" w:rsidRPr="009D26E6">
        <w:rPr>
          <w:rFonts w:ascii="Segoe UI" w:hAnsi="Segoe UI" w:cs="Segoe UI"/>
          <w:color w:val="1F3864"/>
        </w:rPr>
        <w:t xml:space="preserve"> no âmbito da Estratégia de Finanças Sustentáveis.</w:t>
      </w:r>
      <w:r w:rsidR="009A1F2D">
        <w:rPr>
          <w:rFonts w:ascii="Segoe UI" w:hAnsi="Segoe UI" w:cs="Segoe UI"/>
          <w:color w:val="1F3864"/>
        </w:rPr>
        <w:t xml:space="preserve"> Este Regulamento</w:t>
      </w:r>
      <w:r w:rsidR="006D5FB9" w:rsidRPr="009D26E6">
        <w:rPr>
          <w:rFonts w:ascii="Segoe UI" w:hAnsi="Segoe UI" w:cs="Segoe UI"/>
          <w:color w:val="1F3864"/>
        </w:rPr>
        <w:t xml:space="preserve"> </w:t>
      </w:r>
      <w:r w:rsidR="009A1F2D">
        <w:rPr>
          <w:rFonts w:ascii="Segoe UI" w:hAnsi="Segoe UI" w:cs="Segoe UI"/>
          <w:color w:val="1F3864"/>
        </w:rPr>
        <w:t>apresenta-se como</w:t>
      </w:r>
      <w:r w:rsidR="006D5FB9" w:rsidRPr="009D26E6">
        <w:rPr>
          <w:rFonts w:ascii="Segoe UI" w:hAnsi="Segoe UI" w:cs="Segoe UI"/>
          <w:color w:val="1F3864"/>
        </w:rPr>
        <w:t xml:space="preserve"> um sistema de classificação ambiental das atividades económicas, tendo como objetivos o aumento da transparência e o combate ao </w:t>
      </w:r>
      <w:proofErr w:type="spellStart"/>
      <w:r w:rsidR="006D5FB9" w:rsidRPr="009D26E6">
        <w:rPr>
          <w:rFonts w:ascii="Segoe UI" w:hAnsi="Segoe UI" w:cs="Segoe UI"/>
          <w:i/>
          <w:iCs/>
          <w:color w:val="1F3864"/>
        </w:rPr>
        <w:t>greenwashing</w:t>
      </w:r>
      <w:proofErr w:type="spellEnd"/>
      <w:r w:rsidR="006D5FB9" w:rsidRPr="009D26E6">
        <w:rPr>
          <w:rFonts w:ascii="Segoe UI" w:hAnsi="Segoe UI" w:cs="Segoe UI"/>
          <w:color w:val="1F3864"/>
        </w:rPr>
        <w:t>.</w:t>
      </w:r>
    </w:p>
    <w:p w14:paraId="51D09023" w14:textId="77777777" w:rsidR="006D5FB9" w:rsidRDefault="006D5FB9" w:rsidP="006D5FB9">
      <w:pPr>
        <w:rPr>
          <w:rFonts w:ascii="Segoe UI" w:hAnsi="Segoe UI" w:cs="Segoe UI"/>
          <w:color w:val="1F3864"/>
        </w:rPr>
      </w:pPr>
    </w:p>
    <w:p w14:paraId="327A7B2F" w14:textId="421B7AA4" w:rsidR="001938F9" w:rsidRDefault="001938F9" w:rsidP="001938F9">
      <w:pPr>
        <w:rPr>
          <w:rFonts w:ascii="Segoe UI" w:hAnsi="Segoe UI" w:cs="Segoe UI"/>
          <w:color w:val="1F3864"/>
        </w:rPr>
      </w:pPr>
      <w:r>
        <w:rPr>
          <w:rFonts w:ascii="Segoe UI" w:hAnsi="Segoe UI" w:cs="Segoe UI"/>
          <w:color w:val="1F3864"/>
        </w:rPr>
        <w:t>Este regulamento aplica-se a a</w:t>
      </w:r>
      <w:r w:rsidRPr="001938F9">
        <w:rPr>
          <w:rFonts w:ascii="Segoe UI" w:hAnsi="Segoe UI" w:cs="Segoe UI"/>
          <w:color w:val="1F3864"/>
        </w:rPr>
        <w:t>gentes do mercado financeiro que disponibilizam produtos financeiros</w:t>
      </w:r>
      <w:r>
        <w:rPr>
          <w:rFonts w:ascii="Segoe UI" w:hAnsi="Segoe UI" w:cs="Segoe UI"/>
          <w:color w:val="1F3864"/>
        </w:rPr>
        <w:t>, e</w:t>
      </w:r>
      <w:r w:rsidRPr="001938F9">
        <w:rPr>
          <w:rFonts w:ascii="Segoe UI" w:hAnsi="Segoe UI" w:cs="Segoe UI"/>
          <w:color w:val="1F3864"/>
        </w:rPr>
        <w:t xml:space="preserve">mpresas sujeitas </w:t>
      </w:r>
      <w:r>
        <w:rPr>
          <w:rFonts w:ascii="Segoe UI" w:hAnsi="Segoe UI" w:cs="Segoe UI"/>
          <w:color w:val="1F3864"/>
        </w:rPr>
        <w:t xml:space="preserve">à </w:t>
      </w:r>
      <w:r w:rsidRPr="001938F9">
        <w:rPr>
          <w:rFonts w:ascii="Segoe UI" w:hAnsi="Segoe UI" w:cs="Segoe UI"/>
          <w:color w:val="1F3864"/>
        </w:rPr>
        <w:t>NFRD</w:t>
      </w:r>
      <w:r>
        <w:rPr>
          <w:rFonts w:ascii="Segoe UI" w:hAnsi="Segoe UI" w:cs="Segoe UI"/>
          <w:color w:val="1F3864"/>
        </w:rPr>
        <w:t xml:space="preserve"> (</w:t>
      </w:r>
      <w:r w:rsidRPr="001938F9">
        <w:rPr>
          <w:rFonts w:ascii="Segoe UI" w:hAnsi="Segoe UI" w:cs="Segoe UI"/>
          <w:color w:val="1F3864"/>
        </w:rPr>
        <w:t>futuramente CSRD)</w:t>
      </w:r>
      <w:r>
        <w:rPr>
          <w:rFonts w:ascii="Segoe UI" w:hAnsi="Segoe UI" w:cs="Segoe UI"/>
          <w:color w:val="1F3864"/>
        </w:rPr>
        <w:t xml:space="preserve"> e g</w:t>
      </w:r>
      <w:r w:rsidRPr="001938F9">
        <w:rPr>
          <w:rFonts w:ascii="Segoe UI" w:hAnsi="Segoe UI" w:cs="Segoe UI"/>
          <w:color w:val="1F3864"/>
        </w:rPr>
        <w:t xml:space="preserve">overnos que definam medidas públicas ou rótulos verdes para produtos financeiros ou </w:t>
      </w:r>
      <w:r w:rsidRPr="001938F9">
        <w:rPr>
          <w:rFonts w:ascii="Segoe UI" w:hAnsi="Segoe UI" w:cs="Segoe UI"/>
          <w:i/>
          <w:iCs/>
          <w:color w:val="1F3864"/>
        </w:rPr>
        <w:t xml:space="preserve">green </w:t>
      </w:r>
      <w:proofErr w:type="spellStart"/>
      <w:r w:rsidRPr="001938F9">
        <w:rPr>
          <w:rFonts w:ascii="Segoe UI" w:hAnsi="Segoe UI" w:cs="Segoe UI"/>
          <w:i/>
          <w:iCs/>
          <w:color w:val="1F3864"/>
        </w:rPr>
        <w:t>bonds</w:t>
      </w:r>
      <w:proofErr w:type="spellEnd"/>
      <w:r w:rsidRPr="001938F9">
        <w:rPr>
          <w:rFonts w:ascii="Segoe UI" w:hAnsi="Segoe UI" w:cs="Segoe UI"/>
          <w:color w:val="1F3864"/>
        </w:rPr>
        <w:t>.</w:t>
      </w:r>
    </w:p>
    <w:p w14:paraId="251D234C" w14:textId="77777777" w:rsidR="001938F9" w:rsidRPr="009D26E6" w:rsidRDefault="001938F9" w:rsidP="001938F9">
      <w:pPr>
        <w:rPr>
          <w:rFonts w:ascii="Segoe UI" w:hAnsi="Segoe UI" w:cs="Segoe UI"/>
          <w:color w:val="1F3864"/>
        </w:rPr>
      </w:pPr>
    </w:p>
    <w:p w14:paraId="49366CAD" w14:textId="3B688F6B" w:rsidR="006D5FB9" w:rsidRPr="009D26E6" w:rsidRDefault="00B20974" w:rsidP="006D5FB9">
      <w:pPr>
        <w:rPr>
          <w:rFonts w:ascii="Segoe UI" w:hAnsi="Segoe UI" w:cs="Segoe UI"/>
          <w:color w:val="1F3864"/>
        </w:rPr>
      </w:pPr>
      <w:r>
        <w:rPr>
          <w:rFonts w:ascii="Segoe UI" w:hAnsi="Segoe UI" w:cs="Segoe UI"/>
          <w:color w:val="1F3864"/>
        </w:rPr>
        <w:t>A Taxonomia</w:t>
      </w:r>
      <w:r w:rsidR="006D5FB9" w:rsidRPr="009D26E6">
        <w:rPr>
          <w:rFonts w:ascii="Segoe UI" w:hAnsi="Segoe UI" w:cs="Segoe UI"/>
          <w:color w:val="1F3864"/>
        </w:rPr>
        <w:t xml:space="preserve"> define que para uma atividade económica ser considerada ambientalmente sustentável esta deve:</w:t>
      </w:r>
    </w:p>
    <w:p w14:paraId="47F3FA25" w14:textId="0E04DB5A" w:rsidR="006D5FB9" w:rsidRPr="009D26E6" w:rsidRDefault="006D5FB9" w:rsidP="006D5FB9">
      <w:pPr>
        <w:pStyle w:val="PargrafodaLista"/>
        <w:numPr>
          <w:ilvl w:val="0"/>
          <w:numId w:val="4"/>
        </w:numPr>
        <w:rPr>
          <w:rFonts w:ascii="Segoe UI" w:hAnsi="Segoe UI" w:cs="Segoe UI"/>
          <w:color w:val="1F3864"/>
        </w:rPr>
      </w:pPr>
      <w:r w:rsidRPr="009D26E6">
        <w:rPr>
          <w:rFonts w:ascii="Segoe UI" w:hAnsi="Segoe UI" w:cs="Segoe UI"/>
          <w:color w:val="1F3864"/>
        </w:rPr>
        <w:t xml:space="preserve">Contribuir substancialmente para um ou mais dos seis objetivos </w:t>
      </w:r>
      <w:r w:rsidR="00B20974">
        <w:rPr>
          <w:rFonts w:ascii="Segoe UI" w:hAnsi="Segoe UI" w:cs="Segoe UI"/>
          <w:color w:val="1F3864"/>
        </w:rPr>
        <w:t xml:space="preserve">ambiental </w:t>
      </w:r>
      <w:r w:rsidRPr="009D26E6">
        <w:rPr>
          <w:rFonts w:ascii="Segoe UI" w:hAnsi="Segoe UI" w:cs="Segoe UI"/>
          <w:color w:val="1F3864"/>
        </w:rPr>
        <w:t>definidos:</w:t>
      </w:r>
    </w:p>
    <w:p w14:paraId="75D03A59" w14:textId="13D3A50B" w:rsidR="006D5FB9" w:rsidRPr="009D26E6" w:rsidRDefault="006D5FB9" w:rsidP="000B525D">
      <w:pPr>
        <w:pStyle w:val="PargrafodaLista"/>
        <w:numPr>
          <w:ilvl w:val="0"/>
          <w:numId w:val="5"/>
        </w:numPr>
        <w:rPr>
          <w:rFonts w:ascii="Segoe UI" w:hAnsi="Segoe UI" w:cs="Segoe UI"/>
          <w:color w:val="1F3864"/>
        </w:rPr>
      </w:pPr>
      <w:r w:rsidRPr="009D26E6">
        <w:rPr>
          <w:rFonts w:ascii="Segoe UI" w:hAnsi="Segoe UI" w:cs="Segoe UI"/>
          <w:color w:val="1F3864"/>
        </w:rPr>
        <w:t>Mitigação das Alterações Climáticas;</w:t>
      </w:r>
    </w:p>
    <w:p w14:paraId="505B7186" w14:textId="039176D1" w:rsidR="006D5FB9" w:rsidRPr="009D26E6" w:rsidRDefault="006D5FB9" w:rsidP="000B525D">
      <w:pPr>
        <w:pStyle w:val="PargrafodaLista"/>
        <w:numPr>
          <w:ilvl w:val="0"/>
          <w:numId w:val="5"/>
        </w:numPr>
        <w:rPr>
          <w:rFonts w:ascii="Segoe UI" w:hAnsi="Segoe UI" w:cs="Segoe UI"/>
          <w:color w:val="1F3864"/>
        </w:rPr>
      </w:pPr>
      <w:r w:rsidRPr="009D26E6">
        <w:rPr>
          <w:rFonts w:ascii="Segoe UI" w:hAnsi="Segoe UI" w:cs="Segoe UI"/>
          <w:color w:val="1F3864"/>
        </w:rPr>
        <w:t>Adaptação às Alterações Climáticas;</w:t>
      </w:r>
    </w:p>
    <w:p w14:paraId="5F1F11FF" w14:textId="5A45A4B5" w:rsidR="006D5FB9" w:rsidRPr="009D26E6" w:rsidRDefault="006D5FB9" w:rsidP="000B525D">
      <w:pPr>
        <w:pStyle w:val="PargrafodaLista"/>
        <w:numPr>
          <w:ilvl w:val="0"/>
          <w:numId w:val="5"/>
        </w:numPr>
        <w:rPr>
          <w:rFonts w:ascii="Segoe UI" w:hAnsi="Segoe UI" w:cs="Segoe UI"/>
          <w:color w:val="1F3864"/>
        </w:rPr>
      </w:pPr>
      <w:r w:rsidRPr="009D26E6">
        <w:rPr>
          <w:rFonts w:ascii="Segoe UI" w:hAnsi="Segoe UI" w:cs="Segoe UI"/>
          <w:color w:val="1F3864"/>
        </w:rPr>
        <w:t>Uso e proteção dos recursos hídricos e marinhos;</w:t>
      </w:r>
    </w:p>
    <w:p w14:paraId="46024831" w14:textId="15A1A49C" w:rsidR="006D5FB9" w:rsidRPr="009D26E6" w:rsidRDefault="006D5FB9" w:rsidP="000B525D">
      <w:pPr>
        <w:pStyle w:val="PargrafodaLista"/>
        <w:numPr>
          <w:ilvl w:val="0"/>
          <w:numId w:val="5"/>
        </w:numPr>
        <w:rPr>
          <w:rFonts w:ascii="Segoe UI" w:hAnsi="Segoe UI" w:cs="Segoe UI"/>
          <w:color w:val="1F3864"/>
        </w:rPr>
      </w:pPr>
      <w:r w:rsidRPr="009D26E6">
        <w:rPr>
          <w:rFonts w:ascii="Segoe UI" w:hAnsi="Segoe UI" w:cs="Segoe UI"/>
          <w:color w:val="1F3864"/>
        </w:rPr>
        <w:t>Transição para a economia circular</w:t>
      </w:r>
      <w:r w:rsidR="003A3E6C" w:rsidRPr="009D26E6">
        <w:rPr>
          <w:rFonts w:ascii="Segoe UI" w:hAnsi="Segoe UI" w:cs="Segoe UI"/>
          <w:color w:val="1F3864"/>
        </w:rPr>
        <w:t>;</w:t>
      </w:r>
    </w:p>
    <w:p w14:paraId="6098507F" w14:textId="1A75F0B7" w:rsidR="006D5FB9" w:rsidRPr="009D26E6" w:rsidRDefault="006D5FB9" w:rsidP="000B525D">
      <w:pPr>
        <w:pStyle w:val="PargrafodaLista"/>
        <w:numPr>
          <w:ilvl w:val="0"/>
          <w:numId w:val="5"/>
        </w:numPr>
        <w:rPr>
          <w:rFonts w:ascii="Segoe UI" w:hAnsi="Segoe UI" w:cs="Segoe UI"/>
          <w:color w:val="1F3864"/>
        </w:rPr>
      </w:pPr>
      <w:r w:rsidRPr="009D26E6">
        <w:rPr>
          <w:rFonts w:ascii="Segoe UI" w:hAnsi="Segoe UI" w:cs="Segoe UI"/>
          <w:color w:val="1F3864"/>
        </w:rPr>
        <w:t>Prevenção e controlo da poluição;</w:t>
      </w:r>
    </w:p>
    <w:p w14:paraId="4E550A07" w14:textId="4CC69DF5" w:rsidR="006D5FB9" w:rsidRPr="009D26E6" w:rsidRDefault="006D5FB9" w:rsidP="000B525D">
      <w:pPr>
        <w:pStyle w:val="PargrafodaLista"/>
        <w:numPr>
          <w:ilvl w:val="0"/>
          <w:numId w:val="5"/>
        </w:numPr>
        <w:rPr>
          <w:rFonts w:ascii="Segoe UI" w:hAnsi="Segoe UI" w:cs="Segoe UI"/>
          <w:color w:val="1F3864"/>
        </w:rPr>
      </w:pPr>
      <w:r w:rsidRPr="009D26E6">
        <w:rPr>
          <w:rFonts w:ascii="Segoe UI" w:hAnsi="Segoe UI" w:cs="Segoe UI"/>
          <w:color w:val="1F3864"/>
        </w:rPr>
        <w:t>Proteção sustentável de ecossistemas saudáveis;</w:t>
      </w:r>
    </w:p>
    <w:p w14:paraId="2F6E8BFB" w14:textId="06D14C08" w:rsidR="006D5FB9" w:rsidRPr="009D26E6" w:rsidRDefault="006D5FB9" w:rsidP="000B525D">
      <w:pPr>
        <w:pStyle w:val="PargrafodaLista"/>
        <w:numPr>
          <w:ilvl w:val="0"/>
          <w:numId w:val="4"/>
        </w:numPr>
        <w:rPr>
          <w:rFonts w:ascii="Segoe UI" w:hAnsi="Segoe UI" w:cs="Segoe UI"/>
          <w:color w:val="1F3864"/>
        </w:rPr>
      </w:pPr>
      <w:r w:rsidRPr="009D26E6">
        <w:rPr>
          <w:rFonts w:ascii="Segoe UI" w:hAnsi="Segoe UI" w:cs="Segoe UI"/>
          <w:color w:val="1F3864"/>
        </w:rPr>
        <w:t xml:space="preserve">Não </w:t>
      </w:r>
      <w:r w:rsidR="003A3E6C" w:rsidRPr="009D26E6">
        <w:rPr>
          <w:rFonts w:ascii="Segoe UI" w:hAnsi="Segoe UI" w:cs="Segoe UI"/>
          <w:color w:val="1F3864"/>
        </w:rPr>
        <w:t>Causar Danos Significativos</w:t>
      </w:r>
      <w:r w:rsidRPr="009D26E6">
        <w:rPr>
          <w:rFonts w:ascii="Segoe UI" w:hAnsi="Segoe UI" w:cs="Segoe UI"/>
          <w:color w:val="1F3864"/>
        </w:rPr>
        <w:t xml:space="preserve"> (DNSH) </w:t>
      </w:r>
      <w:r w:rsidR="00B20974">
        <w:rPr>
          <w:rFonts w:ascii="Segoe UI" w:hAnsi="Segoe UI" w:cs="Segoe UI"/>
          <w:color w:val="1F3864"/>
        </w:rPr>
        <w:t xml:space="preserve">a </w:t>
      </w:r>
      <w:r w:rsidRPr="009D26E6">
        <w:rPr>
          <w:rFonts w:ascii="Segoe UI" w:hAnsi="Segoe UI" w:cs="Segoe UI"/>
          <w:color w:val="1F3864"/>
        </w:rPr>
        <w:t xml:space="preserve">nenhum dos </w:t>
      </w:r>
      <w:r w:rsidR="00B20974">
        <w:rPr>
          <w:rFonts w:ascii="Segoe UI" w:hAnsi="Segoe UI" w:cs="Segoe UI"/>
          <w:color w:val="1F3864"/>
        </w:rPr>
        <w:t>restantes</w:t>
      </w:r>
      <w:r w:rsidRPr="009D26E6">
        <w:rPr>
          <w:rFonts w:ascii="Segoe UI" w:hAnsi="Segoe UI" w:cs="Segoe UI"/>
          <w:color w:val="1F3864"/>
        </w:rPr>
        <w:t xml:space="preserve"> objetivos</w:t>
      </w:r>
    </w:p>
    <w:p w14:paraId="3EFCE311" w14:textId="265E9245" w:rsidR="006D5FB9" w:rsidRPr="009D26E6" w:rsidRDefault="006D5FB9" w:rsidP="000B525D">
      <w:pPr>
        <w:pStyle w:val="PargrafodaLista"/>
        <w:numPr>
          <w:ilvl w:val="0"/>
          <w:numId w:val="4"/>
        </w:numPr>
        <w:rPr>
          <w:rFonts w:ascii="Segoe UI" w:hAnsi="Segoe UI" w:cs="Segoe UI"/>
          <w:color w:val="1F3864"/>
        </w:rPr>
      </w:pPr>
      <w:r w:rsidRPr="009D26E6">
        <w:rPr>
          <w:rFonts w:ascii="Segoe UI" w:hAnsi="Segoe UI" w:cs="Segoe UI"/>
          <w:color w:val="1F3864"/>
        </w:rPr>
        <w:t xml:space="preserve">Cumprir com os Critérios Técnicos de Avaliação (TSC) definidos </w:t>
      </w:r>
    </w:p>
    <w:p w14:paraId="069FD693" w14:textId="43303E43" w:rsidR="006D5FB9" w:rsidRPr="009D26E6" w:rsidRDefault="00B20974" w:rsidP="000B525D">
      <w:pPr>
        <w:pStyle w:val="PargrafodaLista"/>
        <w:numPr>
          <w:ilvl w:val="0"/>
          <w:numId w:val="4"/>
        </w:numPr>
        <w:rPr>
          <w:rFonts w:ascii="Segoe UI" w:hAnsi="Segoe UI" w:cs="Segoe UI"/>
          <w:color w:val="1F3864"/>
        </w:rPr>
      </w:pPr>
      <w:r>
        <w:rPr>
          <w:rFonts w:ascii="Segoe UI" w:hAnsi="Segoe UI" w:cs="Segoe UI"/>
          <w:color w:val="1F3864"/>
        </w:rPr>
        <w:t>Atender às</w:t>
      </w:r>
      <w:r w:rsidR="006D5FB9" w:rsidRPr="009D26E6">
        <w:rPr>
          <w:rFonts w:ascii="Segoe UI" w:hAnsi="Segoe UI" w:cs="Segoe UI"/>
          <w:color w:val="1F3864"/>
        </w:rPr>
        <w:t xml:space="preserve"> Salvaguardas Sociais </w:t>
      </w:r>
      <w:r w:rsidR="000B525D" w:rsidRPr="009D26E6">
        <w:rPr>
          <w:rFonts w:ascii="Segoe UI" w:hAnsi="Segoe UI" w:cs="Segoe UI"/>
          <w:color w:val="1F3864"/>
        </w:rPr>
        <w:t>Mínimas</w:t>
      </w:r>
    </w:p>
    <w:p w14:paraId="3CF77F3F" w14:textId="77777777" w:rsidR="006D5FB9" w:rsidRPr="009D26E6" w:rsidRDefault="006D5FB9" w:rsidP="006D5FB9">
      <w:pPr>
        <w:rPr>
          <w:rFonts w:ascii="Segoe UI" w:hAnsi="Segoe UI" w:cs="Segoe UI"/>
          <w:color w:val="1F3864"/>
        </w:rPr>
      </w:pPr>
    </w:p>
    <w:p w14:paraId="118525E9" w14:textId="595D21E2" w:rsidR="00DD0A22" w:rsidRDefault="006D5FB9" w:rsidP="006D5FB9">
      <w:pPr>
        <w:rPr>
          <w:rFonts w:ascii="Segoe UI" w:hAnsi="Segoe UI" w:cs="Segoe UI"/>
          <w:color w:val="1F3864"/>
        </w:rPr>
      </w:pPr>
      <w:r w:rsidRPr="009D26E6">
        <w:rPr>
          <w:rFonts w:ascii="Segoe UI" w:hAnsi="Segoe UI" w:cs="Segoe UI"/>
          <w:color w:val="1F3864"/>
        </w:rPr>
        <w:t xml:space="preserve">Os dois primeiros objetivos (Mitigação e Adaptação) foram publicados a 9 de dezembro de 2021, os quatros restantes objetivos foram adotados a 27 de junho de 2023 encontrando-se assim publicados os TSC </w:t>
      </w:r>
      <w:r w:rsidR="00B20974">
        <w:rPr>
          <w:rFonts w:ascii="Segoe UI" w:hAnsi="Segoe UI" w:cs="Segoe UI"/>
          <w:color w:val="1F3864"/>
        </w:rPr>
        <w:t>para</w:t>
      </w:r>
      <w:r w:rsidRPr="009D26E6">
        <w:rPr>
          <w:rFonts w:ascii="Segoe UI" w:hAnsi="Segoe UI" w:cs="Segoe UI"/>
          <w:color w:val="1F3864"/>
        </w:rPr>
        <w:t xml:space="preserve"> todos os objetivos.</w:t>
      </w:r>
    </w:p>
    <w:p w14:paraId="19FB5BDC" w14:textId="77777777" w:rsidR="0028790E" w:rsidRDefault="0028790E" w:rsidP="006D5FB9">
      <w:pPr>
        <w:rPr>
          <w:rFonts w:ascii="Segoe UI" w:hAnsi="Segoe UI" w:cs="Segoe UI"/>
          <w:color w:val="1F3864"/>
        </w:rPr>
      </w:pPr>
    </w:p>
    <w:p w14:paraId="612116FF" w14:textId="77777777" w:rsidR="0028790E" w:rsidRDefault="0028790E" w:rsidP="006D5FB9">
      <w:pPr>
        <w:rPr>
          <w:rFonts w:ascii="Segoe UI" w:hAnsi="Segoe UI" w:cs="Segoe UI"/>
          <w:color w:val="1F3864"/>
        </w:rPr>
      </w:pPr>
    </w:p>
    <w:p w14:paraId="2D43D8F9" w14:textId="77777777" w:rsidR="0028790E" w:rsidRDefault="0028790E" w:rsidP="006D5FB9">
      <w:pPr>
        <w:rPr>
          <w:rFonts w:ascii="Segoe UI" w:hAnsi="Segoe UI" w:cs="Segoe UI"/>
          <w:color w:val="1F3864"/>
        </w:rPr>
      </w:pPr>
    </w:p>
    <w:p w14:paraId="36869814" w14:textId="77777777" w:rsidR="0028790E" w:rsidRDefault="0028790E" w:rsidP="006D5FB9">
      <w:pPr>
        <w:rPr>
          <w:rFonts w:ascii="Segoe UI" w:hAnsi="Segoe UI" w:cs="Segoe UI"/>
          <w:color w:val="1F3864"/>
        </w:rPr>
      </w:pPr>
    </w:p>
    <w:p w14:paraId="5BDD794C" w14:textId="77777777" w:rsidR="0028790E" w:rsidRDefault="0028790E" w:rsidP="006D5FB9">
      <w:pPr>
        <w:rPr>
          <w:rFonts w:ascii="Segoe UI" w:hAnsi="Segoe UI" w:cs="Segoe UI"/>
          <w:color w:val="1F3864"/>
        </w:rPr>
      </w:pPr>
    </w:p>
    <w:p w14:paraId="757B3FB9" w14:textId="77777777" w:rsidR="0028790E" w:rsidRDefault="0028790E" w:rsidP="006D5FB9">
      <w:pPr>
        <w:rPr>
          <w:rFonts w:ascii="Segoe UI" w:hAnsi="Segoe UI" w:cs="Segoe UI"/>
          <w:color w:val="1F3864"/>
        </w:rPr>
      </w:pPr>
    </w:p>
    <w:p w14:paraId="3FDC02F2" w14:textId="77777777" w:rsidR="0028790E" w:rsidRDefault="0028790E" w:rsidP="006D5FB9">
      <w:pPr>
        <w:rPr>
          <w:rFonts w:ascii="Segoe UI" w:hAnsi="Segoe UI" w:cs="Segoe UI"/>
          <w:color w:val="1F3864"/>
        </w:rPr>
      </w:pPr>
    </w:p>
    <w:p w14:paraId="53BDCD59" w14:textId="77777777" w:rsidR="0028790E" w:rsidRDefault="0028790E" w:rsidP="006D5FB9">
      <w:pPr>
        <w:rPr>
          <w:rFonts w:ascii="Segoe UI" w:hAnsi="Segoe UI" w:cs="Segoe UI"/>
          <w:color w:val="1F3864"/>
        </w:rPr>
      </w:pPr>
    </w:p>
    <w:p w14:paraId="2A7D4A01" w14:textId="77777777" w:rsidR="0028790E" w:rsidRDefault="0028790E" w:rsidP="006D5FB9">
      <w:pPr>
        <w:rPr>
          <w:rFonts w:ascii="Segoe UI" w:hAnsi="Segoe UI" w:cs="Segoe UI"/>
          <w:color w:val="1F3864"/>
        </w:rPr>
      </w:pPr>
    </w:p>
    <w:p w14:paraId="69C130C2" w14:textId="77777777" w:rsidR="0028790E" w:rsidRDefault="0028790E" w:rsidP="006D5FB9">
      <w:pPr>
        <w:rPr>
          <w:rFonts w:ascii="Segoe UI" w:hAnsi="Segoe UI" w:cs="Segoe UI"/>
          <w:color w:val="1F3864"/>
        </w:rPr>
      </w:pPr>
    </w:p>
    <w:p w14:paraId="2D5D4B5F" w14:textId="77777777" w:rsidR="0028790E" w:rsidRDefault="0028790E" w:rsidP="006D5FB9">
      <w:pPr>
        <w:rPr>
          <w:rFonts w:ascii="Segoe UI" w:hAnsi="Segoe UI" w:cs="Segoe UI"/>
          <w:color w:val="1F3864"/>
        </w:rPr>
      </w:pPr>
    </w:p>
    <w:p w14:paraId="6C7DF33F" w14:textId="77777777" w:rsidR="0028790E" w:rsidRDefault="0028790E" w:rsidP="006D5FB9">
      <w:pPr>
        <w:rPr>
          <w:rFonts w:ascii="Segoe UI" w:hAnsi="Segoe UI" w:cs="Segoe UI"/>
          <w:color w:val="1F3864"/>
        </w:rPr>
      </w:pPr>
    </w:p>
    <w:p w14:paraId="4026DF74" w14:textId="77777777" w:rsidR="0028790E" w:rsidRDefault="0028790E" w:rsidP="006D5FB9">
      <w:pPr>
        <w:rPr>
          <w:rFonts w:ascii="Segoe UI" w:hAnsi="Segoe UI" w:cs="Segoe UI"/>
          <w:color w:val="1F3864"/>
        </w:rPr>
      </w:pPr>
    </w:p>
    <w:p w14:paraId="3D01B17A" w14:textId="77777777" w:rsidR="0028790E" w:rsidRPr="009D26E6" w:rsidRDefault="0028790E" w:rsidP="0028790E">
      <w:pPr>
        <w:rPr>
          <w:rFonts w:ascii="Segoe UI" w:hAnsi="Segoe UI" w:cs="Segoe UI"/>
          <w:b/>
          <w:bCs/>
          <w:color w:val="1F3864"/>
        </w:rPr>
      </w:pPr>
      <w:r w:rsidRPr="009D26E6">
        <w:rPr>
          <w:rFonts w:ascii="Segoe UI" w:hAnsi="Segoe UI" w:cs="Segoe UI"/>
          <w:b/>
          <w:bCs/>
          <w:color w:val="1F3864"/>
        </w:rPr>
        <w:t>Links relevantes:</w:t>
      </w:r>
    </w:p>
    <w:p w14:paraId="05025AEF" w14:textId="77777777" w:rsidR="0028790E" w:rsidRPr="00905BB2" w:rsidRDefault="00000000" w:rsidP="0028790E">
      <w:pPr>
        <w:pStyle w:val="PargrafodaLista"/>
        <w:numPr>
          <w:ilvl w:val="0"/>
          <w:numId w:val="15"/>
        </w:numPr>
        <w:rPr>
          <w:rFonts w:ascii="Segoe UI" w:hAnsi="Segoe UI" w:cs="Segoe UI"/>
          <w:color w:val="1F3864"/>
        </w:rPr>
      </w:pPr>
      <w:hyperlink r:id="rId14" w:history="1">
        <w:r w:rsidR="0028790E" w:rsidRPr="00905BB2">
          <w:rPr>
            <w:rStyle w:val="Hiperligao"/>
            <w:rFonts w:ascii="Segoe UI" w:hAnsi="Segoe UI" w:cs="Segoe UI"/>
          </w:rPr>
          <w:t>Regulamento da Taxonomia (EU 2020/852)</w:t>
        </w:r>
      </w:hyperlink>
    </w:p>
    <w:p w14:paraId="46672C7C" w14:textId="77777777" w:rsidR="0028790E" w:rsidRPr="00C72891" w:rsidRDefault="00000000" w:rsidP="0028790E">
      <w:pPr>
        <w:pStyle w:val="PargrafodaLista"/>
        <w:numPr>
          <w:ilvl w:val="0"/>
          <w:numId w:val="15"/>
        </w:numPr>
        <w:rPr>
          <w:rFonts w:ascii="Segoe UI" w:hAnsi="Segoe UI" w:cs="Segoe UI"/>
          <w:color w:val="1F3864"/>
        </w:rPr>
      </w:pPr>
      <w:hyperlink r:id="rId15" w:history="1">
        <w:r w:rsidR="0028790E" w:rsidRPr="00C72891">
          <w:rPr>
            <w:rStyle w:val="Hiperligao"/>
            <w:rFonts w:ascii="Segoe UI" w:hAnsi="Segoe UI" w:cs="Segoe UI"/>
          </w:rPr>
          <w:t>Ato Delegado sobre o Clima</w:t>
        </w:r>
      </w:hyperlink>
      <w:r w:rsidR="0028790E" w:rsidRPr="00905BB2">
        <w:rPr>
          <w:rFonts w:ascii="Segoe UI" w:hAnsi="Segoe UI" w:cs="Segoe UI"/>
          <w:color w:val="1F3864"/>
        </w:rPr>
        <w:t xml:space="preserve"> – Define os TSC para os objetivos 1 e 2 (Mitigação e Adaptação).</w:t>
      </w:r>
    </w:p>
    <w:p w14:paraId="7F226A95" w14:textId="77777777" w:rsidR="0028790E" w:rsidRPr="00F4717A" w:rsidRDefault="00000000" w:rsidP="0028790E">
      <w:pPr>
        <w:pStyle w:val="PargrafodaLista"/>
        <w:numPr>
          <w:ilvl w:val="0"/>
          <w:numId w:val="15"/>
        </w:numPr>
        <w:rPr>
          <w:rFonts w:ascii="Segoe UI" w:hAnsi="Segoe UI" w:cs="Segoe UI"/>
          <w:color w:val="1F3864"/>
        </w:rPr>
      </w:pPr>
      <w:hyperlink r:id="rId16" w:history="1">
        <w:r w:rsidR="0028790E" w:rsidRPr="00F4717A">
          <w:rPr>
            <w:rStyle w:val="Hiperligao"/>
            <w:rFonts w:ascii="Segoe UI" w:hAnsi="Segoe UI" w:cs="Segoe UI"/>
          </w:rPr>
          <w:t xml:space="preserve">Ato Delegado sobre Divulgação de Informação </w:t>
        </w:r>
      </w:hyperlink>
      <w:r w:rsidR="0028790E">
        <w:rPr>
          <w:rFonts w:ascii="Segoe UI" w:hAnsi="Segoe UI" w:cs="Segoe UI"/>
          <w:color w:val="1F3864"/>
        </w:rPr>
        <w:t>– Ato delegado que complementa o Artigo 8.º. Divulgação e apresentação das informações de divulgação das empresas financeiras e não financeiras.</w:t>
      </w:r>
    </w:p>
    <w:p w14:paraId="665FD8A7" w14:textId="77777777" w:rsidR="0028790E" w:rsidRPr="009307CB" w:rsidRDefault="00000000" w:rsidP="0028790E">
      <w:pPr>
        <w:pStyle w:val="PargrafodaLista"/>
        <w:numPr>
          <w:ilvl w:val="0"/>
          <w:numId w:val="15"/>
        </w:numPr>
        <w:rPr>
          <w:rFonts w:ascii="Segoe UI" w:hAnsi="Segoe UI" w:cs="Segoe UI"/>
          <w:color w:val="1F3864"/>
        </w:rPr>
      </w:pPr>
      <w:hyperlink r:id="rId17" w:history="1">
        <w:r w:rsidR="0028790E" w:rsidRPr="009307CB">
          <w:rPr>
            <w:rStyle w:val="Hiperligao"/>
            <w:rFonts w:ascii="Segoe UI" w:hAnsi="Segoe UI" w:cs="Segoe UI"/>
          </w:rPr>
          <w:t>Ato Delegado Complementar sobre o Clima</w:t>
        </w:r>
      </w:hyperlink>
      <w:r w:rsidR="0028790E">
        <w:rPr>
          <w:rFonts w:ascii="Segoe UI" w:hAnsi="Segoe UI" w:cs="Segoe UI"/>
          <w:color w:val="1F3864"/>
        </w:rPr>
        <w:t xml:space="preserve"> –</w:t>
      </w:r>
      <w:r w:rsidR="0028790E" w:rsidRPr="00A513D4">
        <w:rPr>
          <w:rFonts w:ascii="Segoe UI" w:hAnsi="Segoe UI" w:cs="Segoe UI"/>
          <w:color w:val="1F3864"/>
        </w:rPr>
        <w:t xml:space="preserve"> Inclusão das atividades relacionadas com gás natural e energia nuclear nas atividades abrangidas pela Taxonomia</w:t>
      </w:r>
    </w:p>
    <w:p w14:paraId="060768B2" w14:textId="77777777" w:rsidR="0028790E" w:rsidRPr="00905BB2" w:rsidRDefault="0028790E" w:rsidP="0028790E">
      <w:pPr>
        <w:pStyle w:val="PargrafodaLista"/>
        <w:numPr>
          <w:ilvl w:val="0"/>
          <w:numId w:val="15"/>
        </w:numPr>
        <w:rPr>
          <w:rFonts w:ascii="Segoe UI" w:hAnsi="Segoe UI" w:cs="Segoe UI"/>
          <w:color w:val="1F3864"/>
        </w:rPr>
      </w:pPr>
      <w:r w:rsidRPr="00905BB2">
        <w:rPr>
          <w:rFonts w:ascii="Segoe UI" w:hAnsi="Segoe UI" w:cs="Segoe UI"/>
          <w:color w:val="1F3864"/>
        </w:rPr>
        <w:t>Ato delegado sobre o Ambiente</w:t>
      </w:r>
      <w:r>
        <w:rPr>
          <w:rFonts w:ascii="Segoe UI" w:hAnsi="Segoe UI" w:cs="Segoe UI"/>
          <w:color w:val="1F3864"/>
        </w:rPr>
        <w:t xml:space="preserve"> –</w:t>
      </w:r>
      <w:r w:rsidRPr="00905BB2">
        <w:rPr>
          <w:rFonts w:ascii="Segoe UI" w:hAnsi="Segoe UI" w:cs="Segoe UI"/>
          <w:color w:val="1F3864"/>
        </w:rPr>
        <w:t xml:space="preserve"> Define os TSC para os restantes 4 objetivos: </w:t>
      </w:r>
    </w:p>
    <w:p w14:paraId="654828F6" w14:textId="77777777" w:rsidR="0028790E" w:rsidRPr="008F3AB6" w:rsidRDefault="00000000" w:rsidP="0028790E">
      <w:pPr>
        <w:pStyle w:val="PargrafodaLista"/>
        <w:numPr>
          <w:ilvl w:val="1"/>
          <w:numId w:val="0"/>
        </w:numPr>
        <w:tabs>
          <w:tab w:val="num" w:pos="1440"/>
        </w:tabs>
        <w:ind w:left="1440" w:hanging="720"/>
        <w:rPr>
          <w:rFonts w:ascii="Segoe UI" w:hAnsi="Segoe UI" w:cs="Segoe UI"/>
          <w:color w:val="1F3864"/>
        </w:rPr>
      </w:pPr>
      <w:hyperlink r:id="rId18" w:history="1">
        <w:r w:rsidR="0028790E" w:rsidRPr="00112318">
          <w:rPr>
            <w:rStyle w:val="Hiperligao"/>
            <w:rFonts w:ascii="Segoe UI" w:hAnsi="Segoe UI" w:cs="Segoe UI"/>
          </w:rPr>
          <w:t>Anexo I: U</w:t>
        </w:r>
        <w:r w:rsidR="0028790E">
          <w:rPr>
            <w:rStyle w:val="Hiperligao"/>
            <w:rFonts w:ascii="Segoe UI" w:hAnsi="Segoe UI" w:cs="Segoe UI"/>
          </w:rPr>
          <w:t>s</w:t>
        </w:r>
        <w:r w:rsidR="0028790E" w:rsidRPr="00112318">
          <w:rPr>
            <w:rStyle w:val="Hiperligao"/>
            <w:rFonts w:ascii="Segoe UI" w:hAnsi="Segoe UI" w:cs="Segoe UI"/>
          </w:rPr>
          <w:t xml:space="preserve">o </w:t>
        </w:r>
        <w:r w:rsidR="0028790E" w:rsidRPr="0086511D">
          <w:rPr>
            <w:rStyle w:val="Hiperligao"/>
            <w:rFonts w:ascii="Segoe UI" w:hAnsi="Segoe UI" w:cs="Segoe UI"/>
          </w:rPr>
          <w:t xml:space="preserve">e proteção </w:t>
        </w:r>
        <w:r w:rsidR="0028790E" w:rsidRPr="00112318">
          <w:rPr>
            <w:rStyle w:val="Hiperligao"/>
            <w:rFonts w:ascii="Segoe UI" w:hAnsi="Segoe UI" w:cs="Segoe UI"/>
          </w:rPr>
          <w:t xml:space="preserve">dos recursos </w:t>
        </w:r>
        <w:r w:rsidR="0028790E">
          <w:rPr>
            <w:rStyle w:val="Hiperligao"/>
            <w:rFonts w:ascii="Segoe UI" w:hAnsi="Segoe UI" w:cs="Segoe UI"/>
          </w:rPr>
          <w:t xml:space="preserve">hídricos </w:t>
        </w:r>
        <w:r w:rsidR="0028790E" w:rsidRPr="00112318">
          <w:rPr>
            <w:rStyle w:val="Hiperligao"/>
            <w:rFonts w:ascii="Segoe UI" w:hAnsi="Segoe UI" w:cs="Segoe UI"/>
          </w:rPr>
          <w:t>marinhos</w:t>
        </w:r>
      </w:hyperlink>
    </w:p>
    <w:p w14:paraId="1C585D54" w14:textId="77777777" w:rsidR="0028790E" w:rsidRPr="008F3AB6" w:rsidRDefault="00000000" w:rsidP="0028790E">
      <w:pPr>
        <w:pStyle w:val="PargrafodaLista"/>
        <w:numPr>
          <w:ilvl w:val="1"/>
          <w:numId w:val="0"/>
        </w:numPr>
        <w:tabs>
          <w:tab w:val="num" w:pos="1440"/>
        </w:tabs>
        <w:ind w:left="1440" w:hanging="720"/>
        <w:rPr>
          <w:rFonts w:ascii="Segoe UI" w:hAnsi="Segoe UI" w:cs="Segoe UI"/>
          <w:color w:val="1F3864"/>
        </w:rPr>
      </w:pPr>
      <w:hyperlink r:id="rId19" w:history="1">
        <w:r w:rsidR="0028790E" w:rsidRPr="00112318">
          <w:rPr>
            <w:rStyle w:val="Hiperligao"/>
            <w:rFonts w:ascii="Segoe UI" w:hAnsi="Segoe UI" w:cs="Segoe UI"/>
          </w:rPr>
          <w:t>Anexo II: Transição para uma economia circular</w:t>
        </w:r>
      </w:hyperlink>
    </w:p>
    <w:p w14:paraId="050131F1" w14:textId="77777777" w:rsidR="0028790E" w:rsidRPr="008F3AB6" w:rsidRDefault="00000000" w:rsidP="0028790E">
      <w:pPr>
        <w:pStyle w:val="PargrafodaLista"/>
        <w:numPr>
          <w:ilvl w:val="1"/>
          <w:numId w:val="0"/>
        </w:numPr>
        <w:tabs>
          <w:tab w:val="num" w:pos="1440"/>
        </w:tabs>
        <w:ind w:left="1440" w:hanging="720"/>
        <w:rPr>
          <w:rFonts w:ascii="Segoe UI" w:hAnsi="Segoe UI" w:cs="Segoe UI"/>
          <w:color w:val="1F3864"/>
        </w:rPr>
      </w:pPr>
      <w:hyperlink r:id="rId20" w:history="1">
        <w:r w:rsidR="0028790E" w:rsidRPr="00112318">
          <w:rPr>
            <w:rStyle w:val="Hiperligao"/>
            <w:rFonts w:ascii="Segoe UI" w:hAnsi="Segoe UI" w:cs="Segoe UI"/>
          </w:rPr>
          <w:t>Anexo</w:t>
        </w:r>
      </w:hyperlink>
      <w:hyperlink r:id="rId21" w:history="1">
        <w:r w:rsidR="0028790E" w:rsidRPr="00112318">
          <w:rPr>
            <w:rStyle w:val="Hiperligao"/>
            <w:rFonts w:ascii="Segoe UI" w:hAnsi="Segoe UI" w:cs="Segoe UI"/>
          </w:rPr>
          <w:t xml:space="preserve"> III: </w:t>
        </w:r>
      </w:hyperlink>
      <w:hyperlink r:id="rId22" w:history="1">
        <w:r w:rsidR="0028790E" w:rsidRPr="00112318">
          <w:rPr>
            <w:rStyle w:val="Hiperligao"/>
            <w:rFonts w:ascii="Segoe UI" w:hAnsi="Segoe UI" w:cs="Segoe UI"/>
          </w:rPr>
          <w:t>Prevenção</w:t>
        </w:r>
      </w:hyperlink>
      <w:hyperlink r:id="rId23" w:history="1">
        <w:r w:rsidR="0028790E" w:rsidRPr="00112318">
          <w:rPr>
            <w:rStyle w:val="Hiperligao"/>
            <w:rFonts w:ascii="Segoe UI" w:hAnsi="Segoe UI" w:cs="Segoe UI"/>
          </w:rPr>
          <w:t xml:space="preserve"> </w:t>
        </w:r>
      </w:hyperlink>
      <w:hyperlink r:id="rId24" w:history="1">
        <w:r w:rsidR="0028790E" w:rsidRPr="00112318">
          <w:rPr>
            <w:rStyle w:val="Hiperligao"/>
            <w:rFonts w:ascii="Segoe UI" w:hAnsi="Segoe UI" w:cs="Segoe UI"/>
          </w:rPr>
          <w:t>e</w:t>
        </w:r>
      </w:hyperlink>
      <w:hyperlink r:id="rId25" w:history="1">
        <w:r w:rsidR="0028790E" w:rsidRPr="00112318">
          <w:rPr>
            <w:rStyle w:val="Hiperligao"/>
            <w:rFonts w:ascii="Segoe UI" w:hAnsi="Segoe UI" w:cs="Segoe UI"/>
          </w:rPr>
          <w:t xml:space="preserve"> </w:t>
        </w:r>
      </w:hyperlink>
      <w:hyperlink r:id="rId26" w:history="1">
        <w:r w:rsidR="0028790E" w:rsidRPr="00112318">
          <w:rPr>
            <w:rStyle w:val="Hiperligao"/>
            <w:rFonts w:ascii="Segoe UI" w:hAnsi="Segoe UI" w:cs="Segoe UI"/>
          </w:rPr>
          <w:t>controlo da</w:t>
        </w:r>
      </w:hyperlink>
      <w:hyperlink r:id="rId27" w:history="1">
        <w:r w:rsidR="0028790E" w:rsidRPr="00112318">
          <w:rPr>
            <w:rStyle w:val="Hiperligao"/>
            <w:rFonts w:ascii="Segoe UI" w:hAnsi="Segoe UI" w:cs="Segoe UI"/>
          </w:rPr>
          <w:t xml:space="preserve"> </w:t>
        </w:r>
      </w:hyperlink>
      <w:hyperlink r:id="rId28" w:history="1">
        <w:r w:rsidR="0028790E" w:rsidRPr="00112318">
          <w:rPr>
            <w:rStyle w:val="Hiperligao"/>
            <w:rFonts w:ascii="Segoe UI" w:hAnsi="Segoe UI" w:cs="Segoe UI"/>
          </w:rPr>
          <w:t xml:space="preserve"> poluição</w:t>
        </w:r>
      </w:hyperlink>
    </w:p>
    <w:p w14:paraId="1F5C8FB4" w14:textId="19E59689" w:rsidR="0028790E" w:rsidRDefault="00000000" w:rsidP="0028790E">
      <w:pPr>
        <w:rPr>
          <w:rFonts w:ascii="Segoe UI" w:hAnsi="Segoe UI" w:cs="Segoe UI"/>
          <w:color w:val="1F3864"/>
        </w:rPr>
      </w:pPr>
      <w:hyperlink r:id="rId29" w:history="1">
        <w:r w:rsidR="0028790E" w:rsidRPr="00112318">
          <w:rPr>
            <w:rStyle w:val="Hiperligao"/>
            <w:rFonts w:ascii="Segoe UI" w:hAnsi="Segoe UI" w:cs="Segoe UI"/>
          </w:rPr>
          <w:t xml:space="preserve">Anexo IV: Proteção </w:t>
        </w:r>
        <w:r w:rsidR="0028790E">
          <w:rPr>
            <w:rStyle w:val="Hiperligao"/>
            <w:rFonts w:ascii="Segoe UI" w:hAnsi="Segoe UI" w:cs="Segoe UI"/>
          </w:rPr>
          <w:t xml:space="preserve">sustentável de </w:t>
        </w:r>
        <w:r w:rsidR="0028790E" w:rsidRPr="00112318">
          <w:rPr>
            <w:rStyle w:val="Hiperligao"/>
            <w:rFonts w:ascii="Segoe UI" w:hAnsi="Segoe UI" w:cs="Segoe UI"/>
          </w:rPr>
          <w:t>ecossistema</w:t>
        </w:r>
        <w:r w:rsidR="0028790E">
          <w:rPr>
            <w:rStyle w:val="Hiperligao"/>
            <w:rFonts w:ascii="Segoe UI" w:hAnsi="Segoe UI" w:cs="Segoe UI"/>
          </w:rPr>
          <w:t>s saudávei</w:t>
        </w:r>
        <w:r w:rsidR="0028790E" w:rsidRPr="00112318">
          <w:rPr>
            <w:rStyle w:val="Hiperligao"/>
            <w:rFonts w:ascii="Segoe UI" w:hAnsi="Segoe UI" w:cs="Segoe UI"/>
          </w:rPr>
          <w:t>s</w:t>
        </w:r>
      </w:hyperlink>
    </w:p>
    <w:p w14:paraId="615B412B" w14:textId="77777777" w:rsidR="002A58E0" w:rsidRDefault="002A58E0" w:rsidP="006D5FB9">
      <w:pPr>
        <w:rPr>
          <w:rFonts w:ascii="Segoe UI" w:hAnsi="Segoe UI" w:cs="Segoe UI"/>
          <w:color w:val="1F3864"/>
        </w:rPr>
      </w:pPr>
    </w:p>
    <w:p w14:paraId="1FEC6854" w14:textId="77777777" w:rsidR="0028790E" w:rsidRDefault="0028790E" w:rsidP="006D5FB9">
      <w:pPr>
        <w:rPr>
          <w:rFonts w:ascii="Segoe UI" w:hAnsi="Segoe UI" w:cs="Segoe UI"/>
          <w:color w:val="1F3864"/>
        </w:rPr>
      </w:pPr>
    </w:p>
    <w:p w14:paraId="65CEECBF" w14:textId="77777777" w:rsidR="0028790E" w:rsidRPr="009D26E6" w:rsidRDefault="0028790E" w:rsidP="006D5FB9">
      <w:pPr>
        <w:rPr>
          <w:rFonts w:ascii="Segoe UI" w:hAnsi="Segoe UI" w:cs="Segoe UI"/>
          <w:color w:val="1F3864"/>
        </w:rPr>
      </w:pPr>
    </w:p>
    <w:p w14:paraId="60312353" w14:textId="4AD9F459" w:rsidR="002A58E0" w:rsidRPr="008F3AB6" w:rsidRDefault="002A58E0" w:rsidP="006D5FB9">
      <w:pPr>
        <w:rPr>
          <w:rFonts w:ascii="Segoe UI" w:hAnsi="Segoe UI" w:cs="Segoe UI"/>
          <w:color w:val="1F3864"/>
        </w:rPr>
      </w:pPr>
    </w:p>
    <w:p w14:paraId="0AF863EA" w14:textId="77777777" w:rsidR="003944B6" w:rsidRPr="008F3AB6" w:rsidRDefault="003944B6" w:rsidP="003944B6">
      <w:pPr>
        <w:rPr>
          <w:rFonts w:ascii="Segoe UI" w:hAnsi="Segoe UI" w:cs="Segoe UI"/>
          <w:color w:val="1F3864"/>
          <w:highlight w:val="white"/>
        </w:rPr>
      </w:pPr>
    </w:p>
    <w:p w14:paraId="64C78C6E" w14:textId="441FAD73" w:rsidR="00835175" w:rsidRPr="008F3AB6" w:rsidRDefault="00835175">
      <w:pPr>
        <w:jc w:val="left"/>
        <w:rPr>
          <w:rFonts w:ascii="Segoe UI" w:hAnsi="Segoe UI" w:cs="Segoe UI"/>
          <w:color w:val="1F3864"/>
          <w:highlight w:val="white"/>
        </w:rPr>
      </w:pPr>
      <w:r w:rsidRPr="008F3AB6">
        <w:rPr>
          <w:rFonts w:ascii="Segoe UI" w:hAnsi="Segoe UI" w:cs="Segoe UI"/>
          <w:color w:val="1F3864"/>
          <w:highlight w:val="white"/>
        </w:rPr>
        <w:br w:type="page"/>
      </w:r>
    </w:p>
    <w:p w14:paraId="7A702E55" w14:textId="77777777" w:rsidR="00835175" w:rsidRPr="008F3AB6" w:rsidRDefault="00835175" w:rsidP="00D73AD6">
      <w:pPr>
        <w:rPr>
          <w:rFonts w:ascii="Segoe UI" w:hAnsi="Segoe UI" w:cs="Segoe UI"/>
          <w:color w:val="1F3864"/>
          <w:highlight w:val="white"/>
        </w:rPr>
      </w:pPr>
    </w:p>
    <w:p w14:paraId="186826A3" w14:textId="77777777" w:rsidR="00A43C7B" w:rsidRPr="008F3AB6" w:rsidRDefault="00A43C7B" w:rsidP="00D73AD6">
      <w:pPr>
        <w:rPr>
          <w:rFonts w:ascii="Segoe UI" w:hAnsi="Segoe UI" w:cs="Segoe UI"/>
          <w:color w:val="1F3864"/>
          <w:highlight w:val="white"/>
        </w:rPr>
      </w:pPr>
    </w:p>
    <w:p w14:paraId="5C47AED1" w14:textId="77777777" w:rsidR="002825D1" w:rsidRPr="008F3AB6" w:rsidRDefault="002825D1" w:rsidP="00D73AD6">
      <w:pPr>
        <w:rPr>
          <w:rFonts w:ascii="Segoe UI" w:hAnsi="Segoe UI" w:cs="Segoe UI"/>
          <w:color w:val="1F3864"/>
          <w:highlight w:val="white"/>
        </w:rPr>
      </w:pPr>
    </w:p>
    <w:p w14:paraId="2B6DDFAE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312AE75C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55FA8365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068FA4C5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4FB0BC55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4A35ED82" w14:textId="77777777" w:rsidR="002825D1" w:rsidRPr="008F3AB6" w:rsidRDefault="00750193" w:rsidP="00D73AD6">
      <w:pPr>
        <w:rPr>
          <w:rFonts w:ascii="Segoe UI" w:hAnsi="Segoe UI" w:cs="Segoe UI"/>
          <w:color w:val="1F3864"/>
        </w:rPr>
      </w:pPr>
      <w:r w:rsidRPr="009D26E6">
        <w:rPr>
          <w:rFonts w:ascii="Segoe UI" w:hAnsi="Segoe UI" w:cs="Segoe UI"/>
          <w:noProof/>
          <w:color w:val="1F3864"/>
        </w:rPr>
        <w:drawing>
          <wp:anchor distT="114300" distB="114300" distL="114300" distR="114300" simplePos="0" relativeHeight="251659264" behindDoc="0" locked="0" layoutInCell="1" hidden="0" allowOverlap="1" wp14:anchorId="250D73D4" wp14:editId="102152D3">
            <wp:simplePos x="0" y="0"/>
            <wp:positionH relativeFrom="page">
              <wp:posOffset>18825</wp:posOffset>
            </wp:positionH>
            <wp:positionV relativeFrom="page">
              <wp:posOffset>5172</wp:posOffset>
            </wp:positionV>
            <wp:extent cx="7591425" cy="10734675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34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E56BE5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2968F79A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3AEF8665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2858B27B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6DC3DD3E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0E0B7515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68976D49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14486E60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39BF1F15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74184A08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62DD1A34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57431C20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449ACC4B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019C3CD4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61D653DA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765BACEF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360630DB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268D07EB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0B758B5B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376FD263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57E6FFDF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53F2FB08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2B9546C3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18C86D0D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5C0C46C4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5E03AC23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4DEF99E0" w14:textId="77777777" w:rsidR="002825D1" w:rsidRPr="008F3AB6" w:rsidRDefault="002825D1" w:rsidP="00D73AD6">
      <w:pPr>
        <w:rPr>
          <w:rFonts w:ascii="Segoe UI" w:hAnsi="Segoe UI" w:cs="Segoe UI"/>
          <w:color w:val="1F3864"/>
        </w:rPr>
      </w:pPr>
    </w:p>
    <w:p w14:paraId="7BEEF413" w14:textId="77777777" w:rsidR="002825D1" w:rsidRPr="009D26E6" w:rsidRDefault="00750193" w:rsidP="00D73AD6">
      <w:pPr>
        <w:rPr>
          <w:rFonts w:ascii="Segoe UI" w:hAnsi="Segoe UI" w:cs="Segoe UI"/>
          <w:color w:val="1F3864"/>
        </w:rPr>
      </w:pPr>
      <w:r w:rsidRPr="009D26E6">
        <w:rPr>
          <w:rFonts w:ascii="Segoe UI" w:hAnsi="Segoe UI" w:cs="Segoe UI"/>
          <w:noProof/>
          <w:color w:val="1F3864"/>
        </w:rPr>
        <w:drawing>
          <wp:anchor distT="114300" distB="114300" distL="114300" distR="114300" simplePos="0" relativeHeight="251662336" behindDoc="0" locked="0" layoutInCell="1" hidden="0" allowOverlap="1" wp14:anchorId="69733514" wp14:editId="03C82499">
            <wp:simplePos x="0" y="0"/>
            <wp:positionH relativeFrom="page">
              <wp:posOffset>-14399</wp:posOffset>
            </wp:positionH>
            <wp:positionV relativeFrom="page">
              <wp:posOffset>-21599</wp:posOffset>
            </wp:positionV>
            <wp:extent cx="7610588" cy="1074098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0588" cy="10740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825D1" w:rsidRPr="009D26E6" w:rsidSect="009D26E6">
      <w:headerReference w:type="first" r:id="rId32"/>
      <w:type w:val="continuous"/>
      <w:pgSz w:w="11909" w:h="16834"/>
      <w:pgMar w:top="0" w:right="1440" w:bottom="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AB82" w14:textId="77777777" w:rsidR="00EE30F4" w:rsidRDefault="00EE30F4" w:rsidP="00D73AD6">
      <w:r>
        <w:separator/>
      </w:r>
    </w:p>
    <w:p w14:paraId="44D85485" w14:textId="77777777" w:rsidR="00EE30F4" w:rsidRDefault="00EE30F4" w:rsidP="00D73AD6"/>
    <w:p w14:paraId="3A2F584B" w14:textId="77777777" w:rsidR="00EE30F4" w:rsidRDefault="00EE30F4" w:rsidP="00D73AD6"/>
    <w:p w14:paraId="455B1741" w14:textId="77777777" w:rsidR="00EE30F4" w:rsidRDefault="00EE30F4" w:rsidP="00D73AD6"/>
  </w:endnote>
  <w:endnote w:type="continuationSeparator" w:id="0">
    <w:p w14:paraId="27DBB93B" w14:textId="77777777" w:rsidR="00EE30F4" w:rsidRDefault="00EE30F4" w:rsidP="00D73AD6">
      <w:r>
        <w:continuationSeparator/>
      </w:r>
    </w:p>
    <w:p w14:paraId="335DDD22" w14:textId="77777777" w:rsidR="00EE30F4" w:rsidRDefault="00EE30F4" w:rsidP="00D73AD6"/>
    <w:p w14:paraId="32F92CE1" w14:textId="77777777" w:rsidR="00EE30F4" w:rsidRDefault="00EE30F4" w:rsidP="00D73AD6"/>
    <w:p w14:paraId="1C3B912D" w14:textId="77777777" w:rsidR="00EE30F4" w:rsidRDefault="00EE30F4" w:rsidP="00D73AD6"/>
  </w:endnote>
  <w:endnote w:type="continuationNotice" w:id="1">
    <w:p w14:paraId="2ABCD4D5" w14:textId="77777777" w:rsidR="00EE30F4" w:rsidRDefault="00EE30F4" w:rsidP="00D73AD6"/>
    <w:p w14:paraId="293DA93A" w14:textId="77777777" w:rsidR="00EE30F4" w:rsidRDefault="00EE30F4" w:rsidP="00D73AD6"/>
    <w:p w14:paraId="3D91D23D" w14:textId="77777777" w:rsidR="00EE30F4" w:rsidRDefault="00EE30F4" w:rsidP="00D73AD6"/>
    <w:p w14:paraId="1E3B4288" w14:textId="77777777" w:rsidR="00EE30F4" w:rsidRDefault="00EE30F4" w:rsidP="00D73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30E2" w14:textId="77777777" w:rsidR="00EE30F4" w:rsidRDefault="00EE30F4" w:rsidP="00D73AD6">
      <w:r>
        <w:separator/>
      </w:r>
    </w:p>
    <w:p w14:paraId="31D53B33" w14:textId="77777777" w:rsidR="00EE30F4" w:rsidRDefault="00EE30F4" w:rsidP="00D73AD6"/>
    <w:p w14:paraId="5C4CD8FC" w14:textId="77777777" w:rsidR="00EE30F4" w:rsidRDefault="00EE30F4" w:rsidP="00D73AD6"/>
    <w:p w14:paraId="0B2D2400" w14:textId="77777777" w:rsidR="00EE30F4" w:rsidRDefault="00EE30F4" w:rsidP="00D73AD6"/>
  </w:footnote>
  <w:footnote w:type="continuationSeparator" w:id="0">
    <w:p w14:paraId="48841749" w14:textId="77777777" w:rsidR="00EE30F4" w:rsidRDefault="00EE30F4" w:rsidP="00D73AD6">
      <w:r>
        <w:continuationSeparator/>
      </w:r>
    </w:p>
    <w:p w14:paraId="0E7E1614" w14:textId="77777777" w:rsidR="00EE30F4" w:rsidRDefault="00EE30F4" w:rsidP="00D73AD6"/>
    <w:p w14:paraId="1621A67B" w14:textId="77777777" w:rsidR="00EE30F4" w:rsidRDefault="00EE30F4" w:rsidP="00D73AD6"/>
    <w:p w14:paraId="23FC6C6A" w14:textId="77777777" w:rsidR="00EE30F4" w:rsidRDefault="00EE30F4" w:rsidP="00D73AD6"/>
  </w:footnote>
  <w:footnote w:type="continuationNotice" w:id="1">
    <w:p w14:paraId="67AD3388" w14:textId="77777777" w:rsidR="00EE30F4" w:rsidRDefault="00EE30F4" w:rsidP="00D73AD6"/>
    <w:p w14:paraId="7A9ECA42" w14:textId="77777777" w:rsidR="00EE30F4" w:rsidRDefault="00EE30F4" w:rsidP="00D73AD6"/>
    <w:p w14:paraId="38C24EB9" w14:textId="77777777" w:rsidR="00EE30F4" w:rsidRDefault="00EE30F4" w:rsidP="00D73AD6"/>
    <w:p w14:paraId="1152D5B8" w14:textId="77777777" w:rsidR="00EE30F4" w:rsidRDefault="00EE30F4" w:rsidP="00D73A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8A73" w14:textId="12411943" w:rsidR="009D26E6" w:rsidRDefault="009D26E6">
    <w:pPr>
      <w:pStyle w:val="Cabealho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6672DE0E" wp14:editId="4DDB78D0">
          <wp:simplePos x="0" y="0"/>
          <wp:positionH relativeFrom="page">
            <wp:posOffset>0</wp:posOffset>
          </wp:positionH>
          <wp:positionV relativeFrom="margin">
            <wp:posOffset>-604520</wp:posOffset>
          </wp:positionV>
          <wp:extent cx="7564151" cy="2024063"/>
          <wp:effectExtent l="0" t="0" r="0" b="0"/>
          <wp:wrapNone/>
          <wp:docPr id="592946492" name="Picture 592946492" descr="A screen 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729399" name="Picture 2040729399" descr="A screen shot of a cell phone&#10;&#10;Description automatically generated"/>
                  <pic:cNvPicPr preferRelativeResize="0"/>
                </pic:nvPicPr>
                <pic:blipFill>
                  <a:blip r:embed="rId1"/>
                  <a:srcRect b="81029"/>
                  <a:stretch>
                    <a:fillRect/>
                  </a:stretch>
                </pic:blipFill>
                <pic:spPr>
                  <a:xfrm>
                    <a:off x="0" y="0"/>
                    <a:ext cx="7564151" cy="2024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616"/>
    <w:multiLevelType w:val="hybridMultilevel"/>
    <w:tmpl w:val="AC9A18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7A5D"/>
    <w:multiLevelType w:val="hybridMultilevel"/>
    <w:tmpl w:val="1B7A57F8"/>
    <w:lvl w:ilvl="0" w:tplc="35F0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2F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FED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66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84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70C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3E6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4E7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E60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5624A4F"/>
    <w:multiLevelType w:val="hybridMultilevel"/>
    <w:tmpl w:val="11BE0F06"/>
    <w:lvl w:ilvl="0" w:tplc="0816001B">
      <w:start w:val="1"/>
      <w:numFmt w:val="lowerRoman"/>
      <w:lvlText w:val="%1."/>
      <w:lvlJc w:val="righ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561BF6"/>
    <w:multiLevelType w:val="hybridMultilevel"/>
    <w:tmpl w:val="EA92A562"/>
    <w:lvl w:ilvl="0" w:tplc="3C0AD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FE3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4AE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7CC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2E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826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76A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66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C0E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870B6F"/>
    <w:multiLevelType w:val="hybridMultilevel"/>
    <w:tmpl w:val="FB3A85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D10BC"/>
    <w:multiLevelType w:val="hybridMultilevel"/>
    <w:tmpl w:val="CB8420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92003"/>
    <w:multiLevelType w:val="hybridMultilevel"/>
    <w:tmpl w:val="ADF059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502DF"/>
    <w:multiLevelType w:val="hybridMultilevel"/>
    <w:tmpl w:val="BCE091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24A09"/>
    <w:multiLevelType w:val="hybridMultilevel"/>
    <w:tmpl w:val="5204D0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02785"/>
    <w:multiLevelType w:val="hybridMultilevel"/>
    <w:tmpl w:val="A524D052"/>
    <w:lvl w:ilvl="0" w:tplc="7DE8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85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BC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A8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05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E9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4E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A9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20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155CA6"/>
    <w:multiLevelType w:val="hybridMultilevel"/>
    <w:tmpl w:val="4E2C5CE0"/>
    <w:lvl w:ilvl="0" w:tplc="61406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B4C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E1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A46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2A4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2A8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E4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86F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0A8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895466D"/>
    <w:multiLevelType w:val="hybridMultilevel"/>
    <w:tmpl w:val="EF16A7E6"/>
    <w:lvl w:ilvl="0" w:tplc="AD92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D60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44D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6AC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D6D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341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04A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1C4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CC5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98D796A"/>
    <w:multiLevelType w:val="multilevel"/>
    <w:tmpl w:val="B96C0A7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0C96D96"/>
    <w:multiLevelType w:val="hybridMultilevel"/>
    <w:tmpl w:val="A4B8D0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0340A"/>
    <w:multiLevelType w:val="hybridMultilevel"/>
    <w:tmpl w:val="5266AA4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92B12"/>
    <w:multiLevelType w:val="hybridMultilevel"/>
    <w:tmpl w:val="2784594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11D07"/>
    <w:multiLevelType w:val="hybridMultilevel"/>
    <w:tmpl w:val="5266AA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51880"/>
    <w:multiLevelType w:val="hybridMultilevel"/>
    <w:tmpl w:val="5AEC7CEA"/>
    <w:lvl w:ilvl="0" w:tplc="B0227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61F18"/>
    <w:multiLevelType w:val="hybridMultilevel"/>
    <w:tmpl w:val="35D8F7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67741"/>
    <w:multiLevelType w:val="hybridMultilevel"/>
    <w:tmpl w:val="856C0B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46061"/>
    <w:multiLevelType w:val="hybridMultilevel"/>
    <w:tmpl w:val="473401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825CE"/>
    <w:multiLevelType w:val="hybridMultilevel"/>
    <w:tmpl w:val="5266AA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983344">
    <w:abstractNumId w:val="12"/>
  </w:num>
  <w:num w:numId="2" w16cid:durableId="250503895">
    <w:abstractNumId w:val="5"/>
  </w:num>
  <w:num w:numId="3" w16cid:durableId="780733319">
    <w:abstractNumId w:val="20"/>
  </w:num>
  <w:num w:numId="4" w16cid:durableId="1852178779">
    <w:abstractNumId w:val="6"/>
  </w:num>
  <w:num w:numId="5" w16cid:durableId="507057377">
    <w:abstractNumId w:val="2"/>
  </w:num>
  <w:num w:numId="6" w16cid:durableId="793791915">
    <w:abstractNumId w:val="17"/>
  </w:num>
  <w:num w:numId="7" w16cid:durableId="1547596261">
    <w:abstractNumId w:val="7"/>
  </w:num>
  <w:num w:numId="8" w16cid:durableId="609242907">
    <w:abstractNumId w:val="19"/>
  </w:num>
  <w:num w:numId="9" w16cid:durableId="328337160">
    <w:abstractNumId w:val="18"/>
  </w:num>
  <w:num w:numId="10" w16cid:durableId="281153576">
    <w:abstractNumId w:val="0"/>
  </w:num>
  <w:num w:numId="11" w16cid:durableId="779492772">
    <w:abstractNumId w:val="14"/>
  </w:num>
  <w:num w:numId="12" w16cid:durableId="215045700">
    <w:abstractNumId w:val="21"/>
  </w:num>
  <w:num w:numId="13" w16cid:durableId="1212571326">
    <w:abstractNumId w:val="16"/>
  </w:num>
  <w:num w:numId="14" w16cid:durableId="1667510123">
    <w:abstractNumId w:val="15"/>
  </w:num>
  <w:num w:numId="15" w16cid:durableId="239755588">
    <w:abstractNumId w:val="8"/>
  </w:num>
  <w:num w:numId="16" w16cid:durableId="657996359">
    <w:abstractNumId w:val="4"/>
  </w:num>
  <w:num w:numId="17" w16cid:durableId="1729305559">
    <w:abstractNumId w:val="13"/>
  </w:num>
  <w:num w:numId="18" w16cid:durableId="2121291385">
    <w:abstractNumId w:val="9"/>
  </w:num>
  <w:num w:numId="19" w16cid:durableId="402341036">
    <w:abstractNumId w:val="1"/>
  </w:num>
  <w:num w:numId="20" w16cid:durableId="1325863864">
    <w:abstractNumId w:val="11"/>
  </w:num>
  <w:num w:numId="21" w16cid:durableId="951740700">
    <w:abstractNumId w:val="10"/>
  </w:num>
  <w:num w:numId="22" w16cid:durableId="336275665">
    <w:abstractNumId w:val="3"/>
  </w:num>
  <w:num w:numId="23" w16cid:durableId="19392118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4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D1"/>
    <w:rsid w:val="00016CCA"/>
    <w:rsid w:val="0002162D"/>
    <w:rsid w:val="000277BC"/>
    <w:rsid w:val="00032FA9"/>
    <w:rsid w:val="000369AB"/>
    <w:rsid w:val="00045B84"/>
    <w:rsid w:val="000613B2"/>
    <w:rsid w:val="000743AB"/>
    <w:rsid w:val="00075824"/>
    <w:rsid w:val="00083B6C"/>
    <w:rsid w:val="000B525D"/>
    <w:rsid w:val="000C0033"/>
    <w:rsid w:val="000E5FD0"/>
    <w:rsid w:val="000E618C"/>
    <w:rsid w:val="000E6309"/>
    <w:rsid w:val="000F081C"/>
    <w:rsid w:val="001002EA"/>
    <w:rsid w:val="0010053E"/>
    <w:rsid w:val="00112318"/>
    <w:rsid w:val="00115B28"/>
    <w:rsid w:val="00115D54"/>
    <w:rsid w:val="00120AC0"/>
    <w:rsid w:val="001520C6"/>
    <w:rsid w:val="0015372A"/>
    <w:rsid w:val="00162A39"/>
    <w:rsid w:val="00163633"/>
    <w:rsid w:val="00166D23"/>
    <w:rsid w:val="00170947"/>
    <w:rsid w:val="0017331E"/>
    <w:rsid w:val="00181AF5"/>
    <w:rsid w:val="001933D2"/>
    <w:rsid w:val="001938F9"/>
    <w:rsid w:val="001B4611"/>
    <w:rsid w:val="001D464F"/>
    <w:rsid w:val="001F72F0"/>
    <w:rsid w:val="0025142A"/>
    <w:rsid w:val="00260007"/>
    <w:rsid w:val="00276296"/>
    <w:rsid w:val="002825D1"/>
    <w:rsid w:val="0028790E"/>
    <w:rsid w:val="00290178"/>
    <w:rsid w:val="002A2044"/>
    <w:rsid w:val="002A28ED"/>
    <w:rsid w:val="002A58E0"/>
    <w:rsid w:val="002B75C9"/>
    <w:rsid w:val="002D25C2"/>
    <w:rsid w:val="002D7BF4"/>
    <w:rsid w:val="002F749C"/>
    <w:rsid w:val="00303EAA"/>
    <w:rsid w:val="00305142"/>
    <w:rsid w:val="00317387"/>
    <w:rsid w:val="00340133"/>
    <w:rsid w:val="00346E9F"/>
    <w:rsid w:val="00360FF9"/>
    <w:rsid w:val="003646CA"/>
    <w:rsid w:val="00372838"/>
    <w:rsid w:val="003944B6"/>
    <w:rsid w:val="003A3E6C"/>
    <w:rsid w:val="003A65A3"/>
    <w:rsid w:val="003B2A7A"/>
    <w:rsid w:val="003C5483"/>
    <w:rsid w:val="003D5359"/>
    <w:rsid w:val="003E6569"/>
    <w:rsid w:val="0042377A"/>
    <w:rsid w:val="00425CF0"/>
    <w:rsid w:val="004403B6"/>
    <w:rsid w:val="00443F55"/>
    <w:rsid w:val="00444F34"/>
    <w:rsid w:val="0047576F"/>
    <w:rsid w:val="004979BC"/>
    <w:rsid w:val="004A4BB4"/>
    <w:rsid w:val="004B5102"/>
    <w:rsid w:val="004C244E"/>
    <w:rsid w:val="004D179E"/>
    <w:rsid w:val="004E3EA2"/>
    <w:rsid w:val="004F1E74"/>
    <w:rsid w:val="00502026"/>
    <w:rsid w:val="005278F1"/>
    <w:rsid w:val="00530640"/>
    <w:rsid w:val="00537382"/>
    <w:rsid w:val="005375CA"/>
    <w:rsid w:val="00545B88"/>
    <w:rsid w:val="005461E1"/>
    <w:rsid w:val="005501E7"/>
    <w:rsid w:val="00556349"/>
    <w:rsid w:val="00560973"/>
    <w:rsid w:val="00566CE2"/>
    <w:rsid w:val="00581ADD"/>
    <w:rsid w:val="00586863"/>
    <w:rsid w:val="005A2AE4"/>
    <w:rsid w:val="005D5097"/>
    <w:rsid w:val="005D5FD8"/>
    <w:rsid w:val="005D7E5A"/>
    <w:rsid w:val="005F6968"/>
    <w:rsid w:val="00613F1B"/>
    <w:rsid w:val="00620C40"/>
    <w:rsid w:val="0062746E"/>
    <w:rsid w:val="00651D43"/>
    <w:rsid w:val="00675461"/>
    <w:rsid w:val="006C4D10"/>
    <w:rsid w:val="006D5FB9"/>
    <w:rsid w:val="006E2E7B"/>
    <w:rsid w:val="006F6754"/>
    <w:rsid w:val="00702578"/>
    <w:rsid w:val="0070285A"/>
    <w:rsid w:val="0074106B"/>
    <w:rsid w:val="007444FB"/>
    <w:rsid w:val="00750193"/>
    <w:rsid w:val="0076747B"/>
    <w:rsid w:val="007A5F0E"/>
    <w:rsid w:val="007F2663"/>
    <w:rsid w:val="008062A5"/>
    <w:rsid w:val="00820D04"/>
    <w:rsid w:val="0083427E"/>
    <w:rsid w:val="00835175"/>
    <w:rsid w:val="00860A87"/>
    <w:rsid w:val="0086511D"/>
    <w:rsid w:val="008721E3"/>
    <w:rsid w:val="0088608A"/>
    <w:rsid w:val="00887F49"/>
    <w:rsid w:val="008B5E57"/>
    <w:rsid w:val="008C0B09"/>
    <w:rsid w:val="008D1244"/>
    <w:rsid w:val="008E5925"/>
    <w:rsid w:val="008F3AB6"/>
    <w:rsid w:val="0090150C"/>
    <w:rsid w:val="00905BB2"/>
    <w:rsid w:val="00907B14"/>
    <w:rsid w:val="009125DD"/>
    <w:rsid w:val="009153B7"/>
    <w:rsid w:val="00921F2D"/>
    <w:rsid w:val="00926EB7"/>
    <w:rsid w:val="009307CB"/>
    <w:rsid w:val="00934D82"/>
    <w:rsid w:val="00944786"/>
    <w:rsid w:val="009632D6"/>
    <w:rsid w:val="009705C1"/>
    <w:rsid w:val="00971B6B"/>
    <w:rsid w:val="009801DB"/>
    <w:rsid w:val="0099381F"/>
    <w:rsid w:val="009A085D"/>
    <w:rsid w:val="009A1F2D"/>
    <w:rsid w:val="009B1C97"/>
    <w:rsid w:val="009C2928"/>
    <w:rsid w:val="009D26E6"/>
    <w:rsid w:val="009D4550"/>
    <w:rsid w:val="009D726C"/>
    <w:rsid w:val="009E42FF"/>
    <w:rsid w:val="009F4ACA"/>
    <w:rsid w:val="00A10EE3"/>
    <w:rsid w:val="00A22DD3"/>
    <w:rsid w:val="00A30C28"/>
    <w:rsid w:val="00A43C7B"/>
    <w:rsid w:val="00A513D4"/>
    <w:rsid w:val="00A613A8"/>
    <w:rsid w:val="00A62766"/>
    <w:rsid w:val="00A82CDF"/>
    <w:rsid w:val="00A93BFC"/>
    <w:rsid w:val="00AA0AF8"/>
    <w:rsid w:val="00AB188A"/>
    <w:rsid w:val="00AB5A56"/>
    <w:rsid w:val="00AC0723"/>
    <w:rsid w:val="00AC13BA"/>
    <w:rsid w:val="00AE3836"/>
    <w:rsid w:val="00B04EB8"/>
    <w:rsid w:val="00B15664"/>
    <w:rsid w:val="00B20974"/>
    <w:rsid w:val="00B20B05"/>
    <w:rsid w:val="00B42A7C"/>
    <w:rsid w:val="00B47E3E"/>
    <w:rsid w:val="00B61F99"/>
    <w:rsid w:val="00B90BF6"/>
    <w:rsid w:val="00C20172"/>
    <w:rsid w:val="00C5715B"/>
    <w:rsid w:val="00C64769"/>
    <w:rsid w:val="00C72891"/>
    <w:rsid w:val="00CA0C2E"/>
    <w:rsid w:val="00CB118B"/>
    <w:rsid w:val="00CB2C9E"/>
    <w:rsid w:val="00CD69FE"/>
    <w:rsid w:val="00CE0579"/>
    <w:rsid w:val="00CF78BF"/>
    <w:rsid w:val="00D03D44"/>
    <w:rsid w:val="00D10B92"/>
    <w:rsid w:val="00D27B0B"/>
    <w:rsid w:val="00D35067"/>
    <w:rsid w:val="00D415B5"/>
    <w:rsid w:val="00D61420"/>
    <w:rsid w:val="00D66E8C"/>
    <w:rsid w:val="00D716E9"/>
    <w:rsid w:val="00D73AD6"/>
    <w:rsid w:val="00D76097"/>
    <w:rsid w:val="00D76BED"/>
    <w:rsid w:val="00D908A2"/>
    <w:rsid w:val="00DC3F24"/>
    <w:rsid w:val="00DD0A22"/>
    <w:rsid w:val="00E51C3F"/>
    <w:rsid w:val="00E637FC"/>
    <w:rsid w:val="00E81D45"/>
    <w:rsid w:val="00E848C3"/>
    <w:rsid w:val="00E8595D"/>
    <w:rsid w:val="00E96F26"/>
    <w:rsid w:val="00EB762E"/>
    <w:rsid w:val="00EC230E"/>
    <w:rsid w:val="00EC2DB8"/>
    <w:rsid w:val="00ED5FFE"/>
    <w:rsid w:val="00EE30F4"/>
    <w:rsid w:val="00F05463"/>
    <w:rsid w:val="00F4019B"/>
    <w:rsid w:val="00F40E52"/>
    <w:rsid w:val="00F4400C"/>
    <w:rsid w:val="00F4717A"/>
    <w:rsid w:val="00F520AF"/>
    <w:rsid w:val="00F634CA"/>
    <w:rsid w:val="00F6785F"/>
    <w:rsid w:val="00F71FF5"/>
    <w:rsid w:val="00F8471C"/>
    <w:rsid w:val="00F85DB3"/>
    <w:rsid w:val="00FA1A23"/>
    <w:rsid w:val="00FC288D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E66BF"/>
  <w15:docId w15:val="{0C15CD39-936F-6A42-BED1-A4F5A944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AD6"/>
    <w:pPr>
      <w:jc w:val="both"/>
    </w:pPr>
    <w:rPr>
      <w:rFonts w:ascii="Montserrat Light" w:eastAsia="Montserrat Light" w:hAnsi="Montserrat Light" w:cs="Montserrat Light"/>
      <w:color w:val="434343"/>
      <w:sz w:val="20"/>
      <w:szCs w:val="20"/>
    </w:rPr>
  </w:style>
  <w:style w:type="paragraph" w:styleId="Ttulo1">
    <w:name w:val="heading 1"/>
    <w:basedOn w:val="Ttulo"/>
    <w:next w:val="Normal"/>
    <w:uiPriority w:val="9"/>
    <w:qFormat/>
    <w:rsid w:val="00ED5FFE"/>
    <w:pPr>
      <w:numPr>
        <w:numId w:val="1"/>
      </w:numPr>
      <w:outlineLvl w:val="0"/>
    </w:pPr>
    <w:rPr>
      <w:color w:val="28477C"/>
      <w:sz w:val="28"/>
      <w:szCs w:val="28"/>
    </w:rPr>
  </w:style>
  <w:style w:type="paragraph" w:styleId="Ttulo2">
    <w:name w:val="heading 2"/>
    <w:basedOn w:val="Ttulo"/>
    <w:next w:val="Normal"/>
    <w:uiPriority w:val="9"/>
    <w:unhideWhenUsed/>
    <w:qFormat/>
    <w:rsid w:val="00ED5FFE"/>
    <w:pPr>
      <w:numPr>
        <w:ilvl w:val="1"/>
        <w:numId w:val="1"/>
      </w:numPr>
      <w:outlineLvl w:val="1"/>
    </w:pPr>
    <w:rPr>
      <w:color w:val="28477C"/>
      <w:sz w:val="22"/>
      <w:szCs w:val="22"/>
    </w:rPr>
  </w:style>
  <w:style w:type="paragraph" w:styleId="Ttulo3">
    <w:name w:val="heading 3"/>
    <w:basedOn w:val="Ttulo2"/>
    <w:next w:val="Normal"/>
    <w:uiPriority w:val="9"/>
    <w:unhideWhenUsed/>
    <w:qFormat/>
    <w:rsid w:val="00ED5FFE"/>
    <w:pPr>
      <w:numPr>
        <w:ilvl w:val="0"/>
        <w:numId w:val="0"/>
      </w:numPr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pPr>
      <w:keepNext/>
      <w:keepLines/>
      <w:spacing w:after="60"/>
    </w:pPr>
    <w:rPr>
      <w:rFonts w:ascii="Montserrat" w:eastAsia="Montserrat" w:hAnsi="Montserrat" w:cs="Montserrat"/>
      <w:b/>
      <w:sz w:val="58"/>
      <w:szCs w:val="58"/>
    </w:rPr>
  </w:style>
  <w:style w:type="paragraph" w:styleId="Subttulo">
    <w:name w:val="Subtitle"/>
    <w:basedOn w:val="Ttulo"/>
    <w:next w:val="Normal"/>
    <w:uiPriority w:val="11"/>
    <w:qFormat/>
    <w:rsid w:val="00ED5FFE"/>
    <w:pPr>
      <w:spacing w:line="192" w:lineRule="auto"/>
      <w:jc w:val="right"/>
    </w:pPr>
    <w:rPr>
      <w:rFonts w:ascii="Montserrat Light" w:eastAsia="Montserrat Light" w:hAnsi="Montserrat Light" w:cs="Montserrat Light"/>
      <w:b w:val="0"/>
      <w:i/>
      <w:color w:val="21558D"/>
      <w:sz w:val="28"/>
      <w:szCs w:val="28"/>
    </w:rPr>
  </w:style>
  <w:style w:type="paragraph" w:styleId="Cabealho">
    <w:name w:val="header"/>
    <w:basedOn w:val="Normal"/>
    <w:link w:val="CabealhoCarter"/>
    <w:uiPriority w:val="99"/>
    <w:unhideWhenUsed/>
    <w:rsid w:val="0083427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3427E"/>
  </w:style>
  <w:style w:type="paragraph" w:styleId="Rodap">
    <w:name w:val="footer"/>
    <w:basedOn w:val="Normal"/>
    <w:link w:val="RodapCarter"/>
    <w:uiPriority w:val="99"/>
    <w:unhideWhenUsed/>
    <w:rsid w:val="0083427E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3427E"/>
  </w:style>
  <w:style w:type="paragraph" w:customStyle="1" w:styleId="SystemicT1">
    <w:name w:val="SystemicT1"/>
    <w:basedOn w:val="Ttulo"/>
    <w:qFormat/>
    <w:rsid w:val="00D716E9"/>
    <w:pPr>
      <w:jc w:val="right"/>
    </w:pPr>
    <w:rPr>
      <w:color w:val="21558D"/>
    </w:rPr>
  </w:style>
  <w:style w:type="paragraph" w:customStyle="1" w:styleId="SystemicT2">
    <w:name w:val="SystemicT2"/>
    <w:basedOn w:val="Ttulo"/>
    <w:qFormat/>
    <w:rsid w:val="00D716E9"/>
    <w:pPr>
      <w:spacing w:line="192" w:lineRule="auto"/>
      <w:jc w:val="right"/>
    </w:pPr>
    <w:rPr>
      <w:rFonts w:ascii="Montserrat Medium" w:eastAsia="Montserrat Medium" w:hAnsi="Montserrat Medium" w:cs="Montserrat Medium"/>
      <w:b w:val="0"/>
      <w:color w:val="21558D"/>
      <w:sz w:val="34"/>
      <w:szCs w:val="34"/>
    </w:rPr>
  </w:style>
  <w:style w:type="table" w:customStyle="1" w:styleId="TableNormal1">
    <w:name w:val="Table Normal1"/>
    <w:rsid w:val="0016363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eDiscreta">
    <w:name w:val="Subtle Emphasis"/>
    <w:uiPriority w:val="19"/>
    <w:qFormat/>
    <w:rsid w:val="00ED5FFE"/>
    <w:rPr>
      <w:rFonts w:ascii="Montserrat Light" w:eastAsia="Montserrat Light" w:hAnsi="Montserrat Light" w:cs="Montserrat Light"/>
      <w:i/>
      <w:color w:val="434343"/>
      <w:sz w:val="18"/>
      <w:szCs w:val="18"/>
    </w:rPr>
  </w:style>
  <w:style w:type="paragraph" w:styleId="Cabealhodondice">
    <w:name w:val="TOC Heading"/>
    <w:basedOn w:val="Ttulo1"/>
    <w:next w:val="Normal"/>
    <w:uiPriority w:val="39"/>
    <w:unhideWhenUsed/>
    <w:rsid w:val="00675461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ndice1">
    <w:name w:val="toc 1"/>
    <w:basedOn w:val="Normal"/>
    <w:next w:val="Normal"/>
    <w:autoRedefine/>
    <w:uiPriority w:val="39"/>
    <w:unhideWhenUsed/>
    <w:rsid w:val="00675461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675461"/>
    <w:pPr>
      <w:spacing w:after="100"/>
      <w:ind w:left="200"/>
    </w:pPr>
  </w:style>
  <w:style w:type="paragraph" w:styleId="ndice3">
    <w:name w:val="toc 3"/>
    <w:basedOn w:val="Normal"/>
    <w:next w:val="Normal"/>
    <w:autoRedefine/>
    <w:uiPriority w:val="39"/>
    <w:unhideWhenUsed/>
    <w:rsid w:val="00675461"/>
    <w:pPr>
      <w:spacing w:after="100"/>
      <w:ind w:left="400"/>
    </w:pPr>
  </w:style>
  <w:style w:type="character" w:styleId="Hiperligao">
    <w:name w:val="Hyperlink"/>
    <w:basedOn w:val="Tipodeletrapredefinidodopargrafo"/>
    <w:uiPriority w:val="99"/>
    <w:unhideWhenUsed/>
    <w:rsid w:val="00675461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21F2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21F2D"/>
    <w:pPr>
      <w:spacing w:line="240" w:lineRule="auto"/>
    </w:p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21F2D"/>
    <w:rPr>
      <w:rFonts w:ascii="Montserrat Light" w:eastAsia="Montserrat Light" w:hAnsi="Montserrat Light" w:cs="Montserrat Light"/>
      <w:color w:val="434343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21F2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21F2D"/>
    <w:rPr>
      <w:rFonts w:ascii="Montserrat Light" w:eastAsia="Montserrat Light" w:hAnsi="Montserrat Light" w:cs="Montserrat Light"/>
      <w:b/>
      <w:bCs/>
      <w:color w:val="434343"/>
      <w:sz w:val="20"/>
      <w:szCs w:val="20"/>
    </w:rPr>
  </w:style>
  <w:style w:type="paragraph" w:styleId="PargrafodaLista">
    <w:name w:val="List Paragraph"/>
    <w:basedOn w:val="Normal"/>
    <w:uiPriority w:val="34"/>
    <w:rsid w:val="006D5FB9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3944B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613B2"/>
    <w:pPr>
      <w:spacing w:line="240" w:lineRule="auto"/>
    </w:pPr>
    <w:rPr>
      <w:rFonts w:ascii="Montserrat Light" w:eastAsia="Montserrat Light" w:hAnsi="Montserrat Light" w:cs="Montserrat Light"/>
      <w:color w:val="434343"/>
      <w:sz w:val="20"/>
      <w:szCs w:val="20"/>
    </w:rPr>
  </w:style>
  <w:style w:type="table" w:styleId="TabelacomGrelha">
    <w:name w:val="Table Grid"/>
    <w:basedOn w:val="Tabelanormal"/>
    <w:uiPriority w:val="39"/>
    <w:rsid w:val="008D12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181A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6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8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9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90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ELEX:32022L2464" TargetMode="External"/><Relationship Id="rId13" Type="http://schemas.openxmlformats.org/officeDocument/2006/relationships/hyperlink" Target="https://www.efrag.org/lab6" TargetMode="External"/><Relationship Id="rId18" Type="http://schemas.openxmlformats.org/officeDocument/2006/relationships/hyperlink" Target="https://finance.ec.europa.eu/document/download/159e9782-729a-4c4e-9fbf-32cec75242bd_en?filename=taxonomy-regulation-delegated-act-2022-environmental-annex-1_en_0.pdf" TargetMode="External"/><Relationship Id="rId26" Type="http://schemas.openxmlformats.org/officeDocument/2006/relationships/hyperlink" Target="https://finance.ec.europa.eu/document/download/191d53ad-4e55-4ee3-82c9-55576152ba5b_en?filename=taxonomy-regulation-delegated-act-2022-environmental-annex-3_en_0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finance.ec.europa.eu/document/download/191d53ad-4e55-4ee3-82c9-55576152ba5b_en?filename=taxonomy-regulation-delegated-act-2022-environmental-annex-3_en_0.pd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c.europa.eu/commission/presscorner/detail/en/qanda_23_4043" TargetMode="External"/><Relationship Id="rId17" Type="http://schemas.openxmlformats.org/officeDocument/2006/relationships/hyperlink" Target="https://eur-lex.europa.eu/legal-content/PT/TXT/PDF/?uri=CELEX:32022R1214" TargetMode="External"/><Relationship Id="rId25" Type="http://schemas.openxmlformats.org/officeDocument/2006/relationships/hyperlink" Target="https://finance.ec.europa.eu/document/download/191d53ad-4e55-4ee3-82c9-55576152ba5b_en?filename=taxonomy-regulation-delegated-act-2022-environmental-annex-3_en_0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PT/TXT/PDF/?uri=CELEX:32021R2178" TargetMode="External"/><Relationship Id="rId20" Type="http://schemas.openxmlformats.org/officeDocument/2006/relationships/hyperlink" Target="https://finance.ec.europa.eu/document/download/191d53ad-4e55-4ee3-82c9-55576152ba5b_en?filename=taxonomy-regulation-delegated-act-2022-environmental-annex-3_en_0.pdf" TargetMode="External"/><Relationship Id="rId29" Type="http://schemas.openxmlformats.org/officeDocument/2006/relationships/hyperlink" Target="https://finance.ec.europa.eu/document/download/715c0aa1-3fc9-433e-bd96-c1fbc3342e59_en?filename=taxonomy-regulation-delegated-act-2022-environmental-annex-4_en_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ance.ec.europa.eu/capital-markets-union-and-financial-markets/company-reporting-and-auditing/company-reporting/corporate-sustainability-reporting_en" TargetMode="External"/><Relationship Id="rId24" Type="http://schemas.openxmlformats.org/officeDocument/2006/relationships/hyperlink" Target="https://finance.ec.europa.eu/document/download/191d53ad-4e55-4ee3-82c9-55576152ba5b_en?filename=taxonomy-regulation-delegated-act-2022-environmental-annex-3_en_0.pdf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PT/TXT/PDF/?uri=CELEX:32021R2139" TargetMode="External"/><Relationship Id="rId23" Type="http://schemas.openxmlformats.org/officeDocument/2006/relationships/hyperlink" Target="https://finance.ec.europa.eu/document/download/191d53ad-4e55-4ee3-82c9-55576152ba5b_en?filename=taxonomy-regulation-delegated-act-2022-environmental-annex-3_en_0.pdf" TargetMode="External"/><Relationship Id="rId28" Type="http://schemas.openxmlformats.org/officeDocument/2006/relationships/hyperlink" Target="https://finance.ec.europa.eu/document/download/191d53ad-4e55-4ee3-82c9-55576152ba5b_en?filename=taxonomy-regulation-delegated-act-2022-environmental-annex-3_en_0.pdf" TargetMode="External"/><Relationship Id="rId10" Type="http://schemas.openxmlformats.org/officeDocument/2006/relationships/hyperlink" Target="https://ec.europa.eu/finance/docs/level-2-measures/csrd-delegated-act-2023-5303-annex-2_en.pdf" TargetMode="External"/><Relationship Id="rId19" Type="http://schemas.openxmlformats.org/officeDocument/2006/relationships/hyperlink" Target="https://finance.ec.europa.eu/document/download/b41d7578-0753-4313-8e02-d09dad535bf2_en?filename=taxonomy-regulation-delegated-act-2022-environmental-annex-2_en_0.pdf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ec.europa.eu/finance/docs/level-2-measures/csrd-delegated-act-2023-5303-annex-1_en.pdf" TargetMode="External"/><Relationship Id="rId14" Type="http://schemas.openxmlformats.org/officeDocument/2006/relationships/hyperlink" Target="https://eur-lex.europa.eu/legal-content/PT/TXT/PDF/?uri=CELEX:32020R0852" TargetMode="External"/><Relationship Id="rId22" Type="http://schemas.openxmlformats.org/officeDocument/2006/relationships/hyperlink" Target="https://finance.ec.europa.eu/document/download/191d53ad-4e55-4ee3-82c9-55576152ba5b_en?filename=taxonomy-regulation-delegated-act-2022-environmental-annex-3_en_0.pdf" TargetMode="External"/><Relationship Id="rId27" Type="http://schemas.openxmlformats.org/officeDocument/2006/relationships/hyperlink" Target="https://finance.ec.europa.eu/document/download/191d53ad-4e55-4ee3-82c9-55576152ba5b_en?filename=taxonomy-regulation-delegated-act-2022-environmental-annex-3_en_0.pdf" TargetMode="External"/><Relationship Id="rId30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C8F266-F2E9-744D-B48D-CFD83070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Assis</dc:creator>
  <cp:lastModifiedBy>Ana Coelho (DMEI/DEEE)</cp:lastModifiedBy>
  <cp:revision>2</cp:revision>
  <dcterms:created xsi:type="dcterms:W3CDTF">2024-02-14T15:47:00Z</dcterms:created>
  <dcterms:modified xsi:type="dcterms:W3CDTF">2024-02-14T15:47:00Z</dcterms:modified>
</cp:coreProperties>
</file>